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71B" w:rsidRPr="005E6A12" w:rsidRDefault="0072571B">
      <w:pPr>
        <w:rPr>
          <w:rFonts w:ascii="Arial" w:hAnsi="Arial" w:cs="Arial"/>
          <w:sz w:val="20"/>
          <w:szCs w:val="20"/>
        </w:rPr>
      </w:pPr>
    </w:p>
    <w:p w:rsidR="0026432F" w:rsidRDefault="0026432F" w:rsidP="005E6A12">
      <w:pPr>
        <w:pStyle w:val="Modelelettretitre"/>
        <w:ind w:left="0"/>
        <w:jc w:val="center"/>
        <w:rPr>
          <w:rFonts w:cs="Arial"/>
          <w:color w:val="000080"/>
          <w:sz w:val="24"/>
        </w:rPr>
      </w:pPr>
    </w:p>
    <w:p w:rsidR="005E6A12" w:rsidRDefault="0043187C" w:rsidP="005E6A12">
      <w:pPr>
        <w:pStyle w:val="Modelelettretitre"/>
        <w:ind w:left="0"/>
        <w:jc w:val="center"/>
        <w:rPr>
          <w:rFonts w:cs="Arial"/>
          <w:color w:val="000080"/>
          <w:sz w:val="24"/>
        </w:rPr>
      </w:pPr>
      <w:r w:rsidRPr="005E6A12">
        <w:rPr>
          <w:rFonts w:cs="Arial"/>
          <w:color w:val="000080"/>
          <w:sz w:val="24"/>
        </w:rPr>
        <w:t xml:space="preserve">SACC : LISTE DES SERVICES INTERDITS </w:t>
      </w:r>
    </w:p>
    <w:p w:rsidR="00B1342A" w:rsidRPr="005E6A12" w:rsidRDefault="0043187C" w:rsidP="005E6A12">
      <w:pPr>
        <w:pStyle w:val="Modelelettretitre"/>
        <w:ind w:left="0"/>
        <w:jc w:val="center"/>
        <w:rPr>
          <w:rFonts w:cs="Arial"/>
          <w:color w:val="000080"/>
          <w:sz w:val="24"/>
        </w:rPr>
      </w:pPr>
      <w:r w:rsidRPr="005E6A12">
        <w:rPr>
          <w:rFonts w:cs="Arial"/>
          <w:color w:val="000080"/>
          <w:sz w:val="24"/>
        </w:rPr>
        <w:t>&amp; ANALYSE DES SACC EN PRESENCE D’UN RESEAU</w:t>
      </w:r>
    </w:p>
    <w:p w:rsidR="005A2293" w:rsidRDefault="005A2293">
      <w:pPr>
        <w:rPr>
          <w:rFonts w:ascii="Arial" w:hAnsi="Arial" w:cs="Arial"/>
          <w:sz w:val="20"/>
          <w:szCs w:val="20"/>
        </w:rPr>
      </w:pPr>
    </w:p>
    <w:p w:rsidR="0026432F" w:rsidRDefault="0026432F">
      <w:pPr>
        <w:rPr>
          <w:rFonts w:ascii="Arial" w:hAnsi="Arial" w:cs="Arial"/>
          <w:sz w:val="20"/>
          <w:szCs w:val="20"/>
        </w:rPr>
      </w:pPr>
    </w:p>
    <w:p w:rsidR="0026432F" w:rsidRPr="005E6A12" w:rsidRDefault="0026432F">
      <w:pPr>
        <w:rPr>
          <w:rFonts w:ascii="Arial" w:hAnsi="Arial" w:cs="Arial"/>
          <w:sz w:val="20"/>
          <w:szCs w:val="20"/>
        </w:rPr>
      </w:pPr>
    </w:p>
    <w:p w:rsidR="005A2293" w:rsidRDefault="005A2293" w:rsidP="0088004B">
      <w:pPr>
        <w:pStyle w:val="Modelelettretitre"/>
        <w:ind w:left="0"/>
        <w:rPr>
          <w:rFonts w:cs="Arial"/>
          <w:color w:val="000080"/>
          <w:sz w:val="20"/>
        </w:rPr>
      </w:pPr>
      <w:r w:rsidRPr="0088004B">
        <w:rPr>
          <w:rFonts w:cs="Arial"/>
          <w:color w:val="000080"/>
          <w:sz w:val="20"/>
        </w:rPr>
        <w:t>Liste des services interdits prévus à l’article 10 du code de déontologie </w:t>
      </w:r>
    </w:p>
    <w:p w:rsidR="0088004B" w:rsidRPr="0088004B" w:rsidRDefault="0088004B" w:rsidP="0088004B">
      <w:pPr>
        <w:pStyle w:val="Modelelettretitre"/>
        <w:ind w:left="0"/>
        <w:rPr>
          <w:rFonts w:cs="Arial"/>
          <w:color w:val="000080"/>
          <w:sz w:val="20"/>
        </w:rPr>
      </w:pPr>
    </w:p>
    <w:p w:rsidR="005A2293" w:rsidRPr="005E6A12" w:rsidRDefault="005A2293" w:rsidP="005A2293">
      <w:pPr>
        <w:rPr>
          <w:rFonts w:ascii="Arial" w:hAnsi="Arial" w:cs="Arial"/>
          <w:sz w:val="20"/>
          <w:szCs w:val="20"/>
        </w:rPr>
      </w:pPr>
      <w:r w:rsidRPr="005E6A12">
        <w:rPr>
          <w:rFonts w:ascii="Arial" w:hAnsi="Arial" w:cs="Arial"/>
          <w:b/>
          <w:bCs/>
          <w:sz w:val="20"/>
          <w:szCs w:val="20"/>
        </w:rPr>
        <w:t>1. Fiscalité </w:t>
      </w:r>
      <w:r w:rsidRPr="005E6A12">
        <w:rPr>
          <w:rFonts w:ascii="Arial" w:hAnsi="Arial" w:cs="Arial"/>
          <w:sz w:val="20"/>
          <w:szCs w:val="20"/>
        </w:rPr>
        <w:t xml:space="preserve">: préparation de déclarations, services liés aux taxes sur les salaires, aux droits de douane, identification de subventions publiques et d’incitations fiscales, assistance en matière de contrôle fiscal, calcul d’impôts directs et indirects et des impôts différés, conseils fiscaux </w:t>
      </w:r>
    </w:p>
    <w:p w:rsidR="005A2293" w:rsidRPr="005E6A12" w:rsidRDefault="005A2293" w:rsidP="005A2293">
      <w:pPr>
        <w:rPr>
          <w:rFonts w:ascii="Arial" w:hAnsi="Arial" w:cs="Arial"/>
          <w:sz w:val="20"/>
          <w:szCs w:val="20"/>
        </w:rPr>
      </w:pPr>
      <w:r w:rsidRPr="005E6A12">
        <w:rPr>
          <w:rFonts w:ascii="Arial" w:hAnsi="Arial" w:cs="Arial"/>
          <w:sz w:val="20"/>
          <w:szCs w:val="20"/>
        </w:rPr>
        <w:t xml:space="preserve">2. Services impliquant d’être </w:t>
      </w:r>
      <w:r w:rsidRPr="005E6A12">
        <w:rPr>
          <w:rFonts w:ascii="Arial" w:hAnsi="Arial" w:cs="Arial"/>
          <w:b/>
          <w:bCs/>
          <w:sz w:val="20"/>
          <w:szCs w:val="20"/>
        </w:rPr>
        <w:t xml:space="preserve">associé à la gestion ou à la prise de décisions </w:t>
      </w:r>
      <w:r w:rsidRPr="005E6A12">
        <w:rPr>
          <w:rFonts w:ascii="Arial" w:hAnsi="Arial" w:cs="Arial"/>
          <w:sz w:val="20"/>
          <w:szCs w:val="20"/>
        </w:rPr>
        <w:t>de l’entité contrôlée </w:t>
      </w:r>
    </w:p>
    <w:p w:rsidR="005A2293" w:rsidRPr="005E6A12" w:rsidRDefault="005A2293" w:rsidP="005A2293">
      <w:pPr>
        <w:rPr>
          <w:rFonts w:ascii="Arial" w:hAnsi="Arial" w:cs="Arial"/>
          <w:sz w:val="20"/>
          <w:szCs w:val="20"/>
        </w:rPr>
      </w:pPr>
      <w:r w:rsidRPr="005E6A12">
        <w:rPr>
          <w:rFonts w:ascii="Arial" w:hAnsi="Arial" w:cs="Arial"/>
          <w:b/>
          <w:bCs/>
          <w:sz w:val="20"/>
          <w:szCs w:val="20"/>
        </w:rPr>
        <w:t>3. Comptabilité</w:t>
      </w:r>
      <w:r w:rsidRPr="005E6A12">
        <w:rPr>
          <w:rFonts w:ascii="Arial" w:hAnsi="Arial" w:cs="Arial"/>
          <w:sz w:val="20"/>
          <w:szCs w:val="20"/>
        </w:rPr>
        <w:t> : tenue, préparation des états financiers</w:t>
      </w:r>
    </w:p>
    <w:p w:rsidR="005A2293" w:rsidRPr="005E6A12" w:rsidRDefault="005A2293" w:rsidP="005A2293">
      <w:pPr>
        <w:rPr>
          <w:rFonts w:ascii="Arial" w:hAnsi="Arial" w:cs="Arial"/>
          <w:sz w:val="20"/>
          <w:szCs w:val="20"/>
        </w:rPr>
      </w:pPr>
      <w:r w:rsidRPr="005E6A12">
        <w:rPr>
          <w:rFonts w:ascii="Arial" w:hAnsi="Arial" w:cs="Arial"/>
          <w:b/>
          <w:bCs/>
          <w:sz w:val="20"/>
          <w:szCs w:val="20"/>
        </w:rPr>
        <w:t>4. Paie</w:t>
      </w:r>
    </w:p>
    <w:p w:rsidR="005A2293" w:rsidRPr="005E6A12" w:rsidRDefault="005A2293" w:rsidP="005A2293">
      <w:pPr>
        <w:rPr>
          <w:rFonts w:ascii="Arial" w:hAnsi="Arial" w:cs="Arial"/>
          <w:sz w:val="20"/>
          <w:szCs w:val="20"/>
        </w:rPr>
      </w:pPr>
      <w:r w:rsidRPr="005E6A12">
        <w:rPr>
          <w:rFonts w:ascii="Arial" w:hAnsi="Arial" w:cs="Arial"/>
          <w:b/>
          <w:bCs/>
          <w:sz w:val="20"/>
          <w:szCs w:val="20"/>
        </w:rPr>
        <w:t>5. Contrôle interne, gestion des risques, systèmes informatiques</w:t>
      </w:r>
      <w:r w:rsidRPr="005E6A12">
        <w:rPr>
          <w:rFonts w:ascii="Arial" w:hAnsi="Arial" w:cs="Arial"/>
          <w:sz w:val="20"/>
          <w:szCs w:val="20"/>
        </w:rPr>
        <w:t xml:space="preserve"> : conception ou mise en place de procédures ou de systèmes relatifs à l’information financière</w:t>
      </w:r>
    </w:p>
    <w:p w:rsidR="005A2293" w:rsidRPr="005E6A12" w:rsidRDefault="005A2293" w:rsidP="005A2293">
      <w:pPr>
        <w:rPr>
          <w:rFonts w:ascii="Arial" w:hAnsi="Arial" w:cs="Arial"/>
          <w:sz w:val="20"/>
          <w:szCs w:val="20"/>
        </w:rPr>
      </w:pPr>
      <w:r w:rsidRPr="005E6A12">
        <w:rPr>
          <w:rFonts w:ascii="Arial" w:hAnsi="Arial" w:cs="Arial"/>
          <w:b/>
          <w:bCs/>
          <w:sz w:val="20"/>
          <w:szCs w:val="20"/>
        </w:rPr>
        <w:t>6. Services d'évaluation</w:t>
      </w:r>
    </w:p>
    <w:p w:rsidR="005A2293" w:rsidRPr="005E6A12" w:rsidRDefault="005A2293" w:rsidP="005A2293">
      <w:pPr>
        <w:rPr>
          <w:rFonts w:ascii="Arial" w:hAnsi="Arial" w:cs="Arial"/>
          <w:sz w:val="20"/>
          <w:szCs w:val="20"/>
        </w:rPr>
      </w:pPr>
      <w:r w:rsidRPr="005E6A12">
        <w:rPr>
          <w:rFonts w:ascii="Arial" w:hAnsi="Arial" w:cs="Arial"/>
          <w:b/>
          <w:bCs/>
          <w:sz w:val="20"/>
          <w:szCs w:val="20"/>
        </w:rPr>
        <w:t xml:space="preserve">7. Services juridiques : </w:t>
      </w:r>
      <w:r w:rsidRPr="005E6A12">
        <w:rPr>
          <w:rFonts w:ascii="Arial" w:hAnsi="Arial" w:cs="Arial"/>
          <w:sz w:val="20"/>
          <w:szCs w:val="20"/>
        </w:rPr>
        <w:t>prestations d’avocat,  négociation pour le compte de l’entité contrôlée, défense dans la résolution d’un litige, fourniture de conseils</w:t>
      </w:r>
    </w:p>
    <w:p w:rsidR="005A2293" w:rsidRPr="005E6A12" w:rsidRDefault="005A2293" w:rsidP="005A2293">
      <w:pPr>
        <w:rPr>
          <w:rFonts w:ascii="Arial" w:hAnsi="Arial" w:cs="Arial"/>
          <w:sz w:val="20"/>
          <w:szCs w:val="20"/>
        </w:rPr>
      </w:pPr>
      <w:r w:rsidRPr="005E6A12">
        <w:rPr>
          <w:rFonts w:ascii="Arial" w:hAnsi="Arial" w:cs="Arial"/>
          <w:b/>
          <w:bCs/>
          <w:sz w:val="20"/>
          <w:szCs w:val="20"/>
        </w:rPr>
        <w:t>8. Audit interne </w:t>
      </w:r>
      <w:r w:rsidRPr="005E6A12">
        <w:rPr>
          <w:rFonts w:ascii="Arial" w:hAnsi="Arial" w:cs="Arial"/>
          <w:sz w:val="20"/>
          <w:szCs w:val="20"/>
        </w:rPr>
        <w:t>: services liés à la fonction d’audit interne</w:t>
      </w:r>
    </w:p>
    <w:p w:rsidR="005A2293" w:rsidRPr="005E6A12" w:rsidRDefault="005A2293" w:rsidP="005A2293">
      <w:pPr>
        <w:rPr>
          <w:rFonts w:ascii="Arial" w:hAnsi="Arial" w:cs="Arial"/>
          <w:sz w:val="20"/>
          <w:szCs w:val="20"/>
        </w:rPr>
      </w:pPr>
      <w:r w:rsidRPr="005E6A12">
        <w:rPr>
          <w:rFonts w:ascii="Arial" w:hAnsi="Arial" w:cs="Arial"/>
          <w:b/>
          <w:bCs/>
          <w:sz w:val="20"/>
          <w:szCs w:val="20"/>
        </w:rPr>
        <w:t>9. Services liés au financement</w:t>
      </w:r>
      <w:r w:rsidRPr="005E6A12">
        <w:rPr>
          <w:rFonts w:ascii="Arial" w:hAnsi="Arial" w:cs="Arial"/>
          <w:sz w:val="20"/>
          <w:szCs w:val="20"/>
        </w:rPr>
        <w:t>, à l’allocation et à la structure des capitaux, la stratégie d’investissement du client d’audit à l’exception de l’émission de services d’assurance en relation avec les états financiers incluant l’émission de lettres de confort en lien avec les prospectus émis par l’entité contrôlée.</w:t>
      </w:r>
    </w:p>
    <w:p w:rsidR="005A2293" w:rsidRPr="005E6A12" w:rsidRDefault="005A2293" w:rsidP="005A2293">
      <w:pPr>
        <w:rPr>
          <w:rFonts w:ascii="Arial" w:hAnsi="Arial" w:cs="Arial"/>
          <w:sz w:val="20"/>
          <w:szCs w:val="20"/>
        </w:rPr>
      </w:pPr>
      <w:r w:rsidRPr="005E6A12">
        <w:rPr>
          <w:rFonts w:ascii="Arial" w:hAnsi="Arial" w:cs="Arial"/>
          <w:b/>
          <w:bCs/>
          <w:sz w:val="20"/>
          <w:szCs w:val="20"/>
        </w:rPr>
        <w:t xml:space="preserve">10. Promouvoir, vendre ou souscrire des actions </w:t>
      </w:r>
      <w:r w:rsidRPr="005E6A12">
        <w:rPr>
          <w:rFonts w:ascii="Arial" w:hAnsi="Arial" w:cs="Arial"/>
          <w:sz w:val="20"/>
          <w:szCs w:val="20"/>
        </w:rPr>
        <w:t>de l’entité contrôlée</w:t>
      </w:r>
    </w:p>
    <w:p w:rsidR="005A2293" w:rsidRPr="005E6A12" w:rsidRDefault="005A2293" w:rsidP="005A2293">
      <w:pPr>
        <w:rPr>
          <w:rFonts w:ascii="Arial" w:hAnsi="Arial" w:cs="Arial"/>
          <w:sz w:val="20"/>
          <w:szCs w:val="20"/>
        </w:rPr>
      </w:pPr>
      <w:r w:rsidRPr="005E6A12">
        <w:rPr>
          <w:rFonts w:ascii="Arial" w:hAnsi="Arial" w:cs="Arial"/>
          <w:b/>
          <w:bCs/>
          <w:sz w:val="20"/>
          <w:szCs w:val="20"/>
        </w:rPr>
        <w:t xml:space="preserve">11. Ressources humaines : </w:t>
      </w:r>
      <w:r w:rsidRPr="005E6A12">
        <w:rPr>
          <w:rFonts w:ascii="Arial" w:hAnsi="Arial" w:cs="Arial"/>
          <w:sz w:val="20"/>
          <w:szCs w:val="20"/>
        </w:rPr>
        <w:t>recrutement de membres de la direction, structuration de l’organisation, contrôle des coûts</w:t>
      </w:r>
    </w:p>
    <w:p w:rsidR="005A2293" w:rsidRPr="005E6A12" w:rsidRDefault="005A2293" w:rsidP="005A2293">
      <w:pPr>
        <w:rPr>
          <w:rFonts w:ascii="Arial" w:hAnsi="Arial" w:cs="Arial"/>
          <w:sz w:val="20"/>
          <w:szCs w:val="20"/>
        </w:rPr>
      </w:pPr>
      <w:r w:rsidRPr="005E6A12">
        <w:rPr>
          <w:rFonts w:ascii="Arial" w:hAnsi="Arial" w:cs="Arial"/>
          <w:sz w:val="20"/>
          <w:szCs w:val="20"/>
        </w:rPr>
        <w:t>12. Les services ayant pour objet l'élaboration d'une information ou d'une communication financière</w:t>
      </w:r>
    </w:p>
    <w:p w:rsidR="005A2293" w:rsidRPr="005E6A12" w:rsidRDefault="005A2293" w:rsidP="005A2293">
      <w:pPr>
        <w:rPr>
          <w:rFonts w:ascii="Arial" w:hAnsi="Arial" w:cs="Arial"/>
          <w:sz w:val="20"/>
          <w:szCs w:val="20"/>
        </w:rPr>
      </w:pPr>
      <w:r w:rsidRPr="005E6A12">
        <w:rPr>
          <w:rFonts w:ascii="Arial" w:hAnsi="Arial" w:cs="Arial"/>
          <w:sz w:val="20"/>
          <w:szCs w:val="20"/>
        </w:rPr>
        <w:t>13. La prestation de conseil en matière juridique ainsi que les services qui ont pour objet la rédaction des actes ou la tenue du secrétariat juridique</w:t>
      </w:r>
    </w:p>
    <w:p w:rsidR="005A2293" w:rsidRPr="005E6A12" w:rsidRDefault="005A2293" w:rsidP="005A2293">
      <w:pPr>
        <w:rPr>
          <w:rFonts w:ascii="Arial" w:hAnsi="Arial" w:cs="Arial"/>
          <w:sz w:val="20"/>
          <w:szCs w:val="20"/>
        </w:rPr>
      </w:pPr>
      <w:r w:rsidRPr="005E6A12">
        <w:rPr>
          <w:rFonts w:ascii="Arial" w:hAnsi="Arial" w:cs="Arial"/>
          <w:sz w:val="20"/>
          <w:szCs w:val="20"/>
        </w:rPr>
        <w:t>14. Les missions de commissariat aux apports et à la fusion</w:t>
      </w:r>
    </w:p>
    <w:p w:rsidR="005A2293" w:rsidRPr="005E6A12" w:rsidRDefault="005A2293" w:rsidP="005A2293">
      <w:pPr>
        <w:rPr>
          <w:rFonts w:ascii="Arial" w:hAnsi="Arial" w:cs="Arial"/>
          <w:sz w:val="20"/>
          <w:szCs w:val="20"/>
        </w:rPr>
      </w:pPr>
      <w:r w:rsidRPr="005E6A12">
        <w:rPr>
          <w:rFonts w:ascii="Arial" w:hAnsi="Arial" w:cs="Arial"/>
          <w:sz w:val="20"/>
          <w:szCs w:val="20"/>
        </w:rPr>
        <w:t>15. La prise en charge, même partielle, d'une prestation d'externalisation</w:t>
      </w:r>
    </w:p>
    <w:p w:rsidR="0043187C" w:rsidRDefault="005A2293">
      <w:pPr>
        <w:rPr>
          <w:rFonts w:ascii="Arial" w:hAnsi="Arial" w:cs="Arial"/>
          <w:sz w:val="20"/>
          <w:szCs w:val="20"/>
        </w:rPr>
      </w:pPr>
      <w:r w:rsidRPr="005E6A12">
        <w:rPr>
          <w:rFonts w:ascii="Arial" w:hAnsi="Arial" w:cs="Arial"/>
          <w:sz w:val="20"/>
          <w:szCs w:val="20"/>
        </w:rPr>
        <w:t>16. Le maniement ou le séquestre de fonds.</w:t>
      </w:r>
    </w:p>
    <w:p w:rsidR="0026432F" w:rsidRDefault="0026432F">
      <w:pPr>
        <w:rPr>
          <w:rFonts w:ascii="Arial" w:hAnsi="Arial" w:cs="Arial"/>
          <w:sz w:val="20"/>
          <w:szCs w:val="20"/>
        </w:rPr>
      </w:pPr>
      <w:r>
        <w:rPr>
          <w:rFonts w:ascii="Arial" w:hAnsi="Arial" w:cs="Arial"/>
          <w:sz w:val="20"/>
          <w:szCs w:val="20"/>
        </w:rPr>
        <w:br w:type="page"/>
      </w:r>
      <w:bookmarkStart w:id="0" w:name="_GoBack"/>
      <w:bookmarkEnd w:id="0"/>
    </w:p>
    <w:p w:rsidR="0026432F" w:rsidRPr="005E6A12" w:rsidRDefault="0026432F">
      <w:pPr>
        <w:rPr>
          <w:rFonts w:ascii="Arial" w:hAnsi="Arial" w:cs="Arial"/>
          <w:sz w:val="20"/>
          <w:szCs w:val="20"/>
        </w:rPr>
      </w:pPr>
    </w:p>
    <w:p w:rsidR="005E6A12" w:rsidRDefault="005E6A12">
      <w:pPr>
        <w:rPr>
          <w:rFonts w:ascii="Arial" w:hAnsi="Arial" w:cs="Arial"/>
          <w:sz w:val="20"/>
          <w:szCs w:val="20"/>
        </w:rPr>
      </w:pPr>
    </w:p>
    <w:p w:rsidR="005E6A12" w:rsidRDefault="005E6A12">
      <w:pPr>
        <w:rPr>
          <w:rFonts w:ascii="Arial" w:hAnsi="Arial" w:cs="Arial"/>
          <w:sz w:val="20"/>
          <w:szCs w:val="20"/>
        </w:rPr>
      </w:pPr>
    </w:p>
    <w:p w:rsidR="0043187C" w:rsidRPr="0088004B" w:rsidRDefault="0043187C" w:rsidP="0088004B">
      <w:pPr>
        <w:pStyle w:val="Modelelettretitre"/>
        <w:ind w:left="0"/>
        <w:rPr>
          <w:rFonts w:cs="Arial"/>
          <w:color w:val="000080"/>
          <w:sz w:val="20"/>
        </w:rPr>
      </w:pPr>
      <w:r w:rsidRPr="0088004B">
        <w:rPr>
          <w:rFonts w:cs="Arial"/>
          <w:color w:val="000080"/>
          <w:sz w:val="20"/>
        </w:rPr>
        <w:t>Aide à l’analyse des SACC en réseau</w:t>
      </w:r>
    </w:p>
    <w:p w:rsidR="0043187C" w:rsidRPr="005E6A12" w:rsidRDefault="0043187C">
      <w:pPr>
        <w:rPr>
          <w:rFonts w:ascii="Arial" w:hAnsi="Arial" w:cs="Arial"/>
          <w:sz w:val="20"/>
          <w:szCs w:val="20"/>
        </w:rPr>
      </w:pPr>
    </w:p>
    <w:tbl>
      <w:tblPr>
        <w:tblW w:w="9420" w:type="dxa"/>
        <w:tblCellMar>
          <w:left w:w="0" w:type="dxa"/>
          <w:right w:w="0" w:type="dxa"/>
        </w:tblCellMar>
        <w:tblLook w:val="04A0" w:firstRow="1" w:lastRow="0" w:firstColumn="1" w:lastColumn="0" w:noHBand="0" w:noVBand="1"/>
      </w:tblPr>
      <w:tblGrid>
        <w:gridCol w:w="3080"/>
        <w:gridCol w:w="2980"/>
        <w:gridCol w:w="3360"/>
      </w:tblGrid>
      <w:tr w:rsidR="0043187C" w:rsidRPr="005E6A12" w:rsidTr="0043187C">
        <w:trPr>
          <w:trHeight w:val="404"/>
        </w:trPr>
        <w:tc>
          <w:tcPr>
            <w:tcW w:w="3080" w:type="dxa"/>
            <w:tcBorders>
              <w:top w:val="single" w:sz="8" w:space="0" w:color="FFFFFF"/>
              <w:left w:val="single" w:sz="8" w:space="0" w:color="FFFFFF"/>
              <w:bottom w:val="single" w:sz="24" w:space="0" w:color="FFFFFF"/>
              <w:right w:val="single" w:sz="8" w:space="0" w:color="FFFFFF"/>
            </w:tcBorders>
            <w:shd w:val="clear" w:color="auto" w:fill="0099CC"/>
            <w:tcMar>
              <w:top w:w="15" w:type="dxa"/>
              <w:left w:w="108" w:type="dxa"/>
              <w:bottom w:w="0" w:type="dxa"/>
              <w:right w:w="108" w:type="dxa"/>
            </w:tcMar>
            <w:hideMark/>
          </w:tcPr>
          <w:p w:rsidR="0043187C" w:rsidRPr="005641C2" w:rsidRDefault="0043187C" w:rsidP="0043187C">
            <w:pPr>
              <w:spacing w:before="200" w:after="0" w:line="276" w:lineRule="auto"/>
              <w:jc w:val="center"/>
              <w:rPr>
                <w:rFonts w:ascii="Arial" w:eastAsia="Times New Roman" w:hAnsi="Arial" w:cs="Arial"/>
                <w:sz w:val="20"/>
                <w:szCs w:val="20"/>
                <w:lang w:eastAsia="fr-FR"/>
              </w:rPr>
            </w:pPr>
            <w:r w:rsidRPr="005641C2">
              <w:rPr>
                <w:rFonts w:ascii="Arial" w:eastAsia="Times New Roman" w:hAnsi="Arial" w:cs="Arial"/>
                <w:b/>
                <w:bCs/>
                <w:color w:val="FFFFFF" w:themeColor="light1"/>
                <w:kern w:val="24"/>
                <w:sz w:val="20"/>
                <w:szCs w:val="20"/>
                <w:lang w:eastAsia="fr-FR"/>
              </w:rPr>
              <w:t>Entités</w:t>
            </w:r>
          </w:p>
        </w:tc>
        <w:tc>
          <w:tcPr>
            <w:tcW w:w="2980" w:type="dxa"/>
            <w:tcBorders>
              <w:top w:val="single" w:sz="8" w:space="0" w:color="FFFFFF"/>
              <w:left w:val="single" w:sz="8" w:space="0" w:color="FFFFFF"/>
              <w:bottom w:val="single" w:sz="24" w:space="0" w:color="FFFFFF"/>
              <w:right w:val="single" w:sz="8" w:space="0" w:color="FFFFFF"/>
            </w:tcBorders>
            <w:shd w:val="clear" w:color="auto" w:fill="0099CC"/>
            <w:tcMar>
              <w:top w:w="15" w:type="dxa"/>
              <w:left w:w="108" w:type="dxa"/>
              <w:bottom w:w="0" w:type="dxa"/>
              <w:right w:w="108" w:type="dxa"/>
            </w:tcMar>
            <w:hideMark/>
          </w:tcPr>
          <w:p w:rsidR="0043187C" w:rsidRPr="005E6A12" w:rsidRDefault="0043187C" w:rsidP="0043187C">
            <w:pPr>
              <w:spacing w:before="200" w:after="0" w:line="276" w:lineRule="auto"/>
              <w:jc w:val="center"/>
              <w:rPr>
                <w:rFonts w:ascii="Arial" w:eastAsia="Times New Roman" w:hAnsi="Arial" w:cs="Arial"/>
                <w:sz w:val="20"/>
                <w:szCs w:val="20"/>
                <w:lang w:eastAsia="fr-FR"/>
              </w:rPr>
            </w:pPr>
            <w:r w:rsidRPr="005E6A12">
              <w:rPr>
                <w:rFonts w:ascii="Arial" w:eastAsia="Times New Roman" w:hAnsi="Arial" w:cs="Arial"/>
                <w:b/>
                <w:bCs/>
                <w:color w:val="FFFFFF" w:themeColor="light1"/>
                <w:kern w:val="24"/>
                <w:sz w:val="20"/>
                <w:szCs w:val="20"/>
                <w:lang w:eastAsia="fr-FR"/>
              </w:rPr>
              <w:t>CAC en France</w:t>
            </w:r>
          </w:p>
        </w:tc>
        <w:tc>
          <w:tcPr>
            <w:tcW w:w="3360" w:type="dxa"/>
            <w:tcBorders>
              <w:top w:val="single" w:sz="8" w:space="0" w:color="FFFFFF"/>
              <w:left w:val="single" w:sz="8" w:space="0" w:color="FFFFFF"/>
              <w:bottom w:val="single" w:sz="24" w:space="0" w:color="FFFFFF"/>
              <w:right w:val="single" w:sz="8" w:space="0" w:color="FFFFFF"/>
            </w:tcBorders>
            <w:shd w:val="clear" w:color="auto" w:fill="0099CC"/>
            <w:tcMar>
              <w:top w:w="15" w:type="dxa"/>
              <w:left w:w="108" w:type="dxa"/>
              <w:bottom w:w="0" w:type="dxa"/>
              <w:right w:w="108" w:type="dxa"/>
            </w:tcMar>
            <w:hideMark/>
          </w:tcPr>
          <w:p w:rsidR="0043187C" w:rsidRPr="005E6A12" w:rsidRDefault="0043187C" w:rsidP="0043187C">
            <w:pPr>
              <w:spacing w:before="200" w:after="0" w:line="276" w:lineRule="auto"/>
              <w:jc w:val="center"/>
              <w:rPr>
                <w:rFonts w:ascii="Arial" w:eastAsia="Times New Roman" w:hAnsi="Arial" w:cs="Arial"/>
                <w:sz w:val="20"/>
                <w:szCs w:val="20"/>
                <w:lang w:eastAsia="fr-FR"/>
              </w:rPr>
            </w:pPr>
            <w:r w:rsidRPr="005E6A12">
              <w:rPr>
                <w:rFonts w:ascii="Arial" w:eastAsia="Times New Roman" w:hAnsi="Arial" w:cs="Arial"/>
                <w:b/>
                <w:bCs/>
                <w:color w:val="FFFFFF" w:themeColor="light1"/>
                <w:kern w:val="24"/>
                <w:sz w:val="20"/>
                <w:szCs w:val="20"/>
                <w:lang w:eastAsia="fr-FR"/>
              </w:rPr>
              <w:t>Membres du réseau</w:t>
            </w:r>
          </w:p>
        </w:tc>
      </w:tr>
      <w:tr w:rsidR="0043187C" w:rsidRPr="005E6A12" w:rsidTr="0043187C">
        <w:trPr>
          <w:trHeight w:val="1453"/>
        </w:trPr>
        <w:tc>
          <w:tcPr>
            <w:tcW w:w="3080" w:type="dxa"/>
            <w:tcBorders>
              <w:top w:val="single" w:sz="24" w:space="0" w:color="FFFFFF"/>
              <w:left w:val="single" w:sz="8" w:space="0" w:color="FFFFFF"/>
              <w:bottom w:val="single" w:sz="8" w:space="0" w:color="FFFFFF"/>
              <w:right w:val="single" w:sz="8" w:space="0" w:color="FFFFFF"/>
            </w:tcBorders>
            <w:shd w:val="clear" w:color="auto" w:fill="0099CC"/>
            <w:tcMar>
              <w:top w:w="15" w:type="dxa"/>
              <w:left w:w="108" w:type="dxa"/>
              <w:bottom w:w="0" w:type="dxa"/>
              <w:right w:w="108" w:type="dxa"/>
            </w:tcMar>
            <w:hideMark/>
          </w:tcPr>
          <w:p w:rsidR="0043187C" w:rsidRPr="005641C2" w:rsidRDefault="0043187C" w:rsidP="0043187C">
            <w:pPr>
              <w:spacing w:before="200" w:after="0" w:line="276" w:lineRule="auto"/>
              <w:rPr>
                <w:rFonts w:ascii="Arial" w:eastAsia="Times New Roman" w:hAnsi="Arial" w:cs="Arial"/>
                <w:sz w:val="20"/>
                <w:szCs w:val="20"/>
                <w:lang w:eastAsia="fr-FR"/>
              </w:rPr>
            </w:pPr>
            <w:r w:rsidRPr="005641C2">
              <w:rPr>
                <w:rFonts w:ascii="Arial" w:eastAsia="Times New Roman" w:hAnsi="Arial" w:cs="Arial"/>
                <w:b/>
                <w:bCs/>
                <w:color w:val="FFFFFF" w:themeColor="light1"/>
                <w:kern w:val="24"/>
                <w:sz w:val="20"/>
                <w:szCs w:val="20"/>
                <w:lang w:eastAsia="fr-FR"/>
              </w:rPr>
              <w:t>Entité auditée non EIP</w:t>
            </w:r>
          </w:p>
        </w:tc>
        <w:tc>
          <w:tcPr>
            <w:tcW w:w="2980" w:type="dxa"/>
            <w:tcBorders>
              <w:top w:val="single" w:sz="24" w:space="0" w:color="FFFFFF"/>
              <w:left w:val="single" w:sz="8" w:space="0" w:color="FFFFFF"/>
              <w:bottom w:val="single" w:sz="8" w:space="0" w:color="FFFFFF"/>
              <w:right w:val="single" w:sz="8" w:space="0" w:color="FFFFFF"/>
            </w:tcBorders>
            <w:shd w:val="clear" w:color="auto" w:fill="CBDEEC"/>
            <w:tcMar>
              <w:top w:w="15" w:type="dxa"/>
              <w:left w:w="108" w:type="dxa"/>
              <w:bottom w:w="0" w:type="dxa"/>
              <w:right w:w="108" w:type="dxa"/>
            </w:tcMar>
            <w:hideMark/>
          </w:tcPr>
          <w:p w:rsidR="0043187C" w:rsidRPr="005E6A12" w:rsidRDefault="0043187C" w:rsidP="0043187C">
            <w:pPr>
              <w:spacing w:before="200" w:after="0" w:line="276" w:lineRule="auto"/>
              <w:jc w:val="center"/>
              <w:rPr>
                <w:rFonts w:ascii="Arial" w:eastAsia="Times New Roman" w:hAnsi="Arial" w:cs="Arial"/>
                <w:sz w:val="20"/>
                <w:szCs w:val="20"/>
                <w:lang w:eastAsia="fr-FR"/>
              </w:rPr>
            </w:pPr>
            <w:r w:rsidRPr="005E6A12">
              <w:rPr>
                <w:rFonts w:ascii="Arial" w:eastAsia="Times New Roman" w:hAnsi="Arial" w:cs="Arial"/>
                <w:color w:val="000000" w:themeColor="dark1"/>
                <w:kern w:val="24"/>
                <w:sz w:val="20"/>
                <w:szCs w:val="20"/>
                <w:lang w:eastAsia="fr-FR"/>
              </w:rPr>
              <w:t>16 services interdits</w:t>
            </w:r>
          </w:p>
          <w:p w:rsidR="0043187C" w:rsidRPr="005E6A12" w:rsidRDefault="0043187C" w:rsidP="0043187C">
            <w:pPr>
              <w:spacing w:before="200" w:after="0" w:line="276" w:lineRule="auto"/>
              <w:jc w:val="center"/>
              <w:rPr>
                <w:rFonts w:ascii="Arial" w:eastAsia="Times New Roman" w:hAnsi="Arial" w:cs="Arial"/>
                <w:sz w:val="20"/>
                <w:szCs w:val="20"/>
                <w:lang w:eastAsia="fr-FR"/>
              </w:rPr>
            </w:pPr>
            <w:r w:rsidRPr="005E6A12">
              <w:rPr>
                <w:rFonts w:ascii="Arial" w:eastAsia="Times New Roman" w:hAnsi="Arial" w:cs="Arial"/>
                <w:color w:val="000000" w:themeColor="dark1"/>
                <w:kern w:val="24"/>
                <w:sz w:val="20"/>
                <w:szCs w:val="20"/>
                <w:lang w:eastAsia="fr-FR"/>
              </w:rPr>
              <w:t>Approche risque/sauvegarde pour les autres services</w:t>
            </w:r>
          </w:p>
        </w:tc>
        <w:tc>
          <w:tcPr>
            <w:tcW w:w="3360" w:type="dxa"/>
            <w:tcBorders>
              <w:top w:val="single" w:sz="24" w:space="0" w:color="FFFFFF"/>
              <w:left w:val="single" w:sz="8" w:space="0" w:color="FFFFFF"/>
              <w:bottom w:val="single" w:sz="8" w:space="0" w:color="FFFFFF"/>
              <w:right w:val="single" w:sz="8" w:space="0" w:color="FFFFFF"/>
            </w:tcBorders>
            <w:shd w:val="clear" w:color="auto" w:fill="CBDEEC"/>
            <w:tcMar>
              <w:top w:w="15" w:type="dxa"/>
              <w:left w:w="108" w:type="dxa"/>
              <w:bottom w:w="0" w:type="dxa"/>
              <w:right w:w="108" w:type="dxa"/>
            </w:tcMar>
            <w:hideMark/>
          </w:tcPr>
          <w:p w:rsidR="0043187C" w:rsidRPr="005E6A12" w:rsidRDefault="0043187C" w:rsidP="0043187C">
            <w:pPr>
              <w:spacing w:before="200" w:after="0" w:line="276" w:lineRule="auto"/>
              <w:jc w:val="center"/>
              <w:rPr>
                <w:rFonts w:ascii="Arial" w:eastAsia="Times New Roman" w:hAnsi="Arial" w:cs="Arial"/>
                <w:sz w:val="20"/>
                <w:szCs w:val="20"/>
                <w:lang w:eastAsia="fr-FR"/>
              </w:rPr>
            </w:pPr>
            <w:r w:rsidRPr="005E6A12">
              <w:rPr>
                <w:rFonts w:ascii="Arial" w:eastAsia="Times New Roman" w:hAnsi="Arial" w:cs="Arial"/>
                <w:color w:val="000000" w:themeColor="dark1"/>
                <w:kern w:val="24"/>
                <w:sz w:val="20"/>
                <w:szCs w:val="20"/>
                <w:lang w:eastAsia="fr-FR"/>
              </w:rPr>
              <w:t>16 services interdits</w:t>
            </w:r>
          </w:p>
          <w:p w:rsidR="0043187C" w:rsidRPr="005E6A12" w:rsidRDefault="0043187C" w:rsidP="0043187C">
            <w:pPr>
              <w:spacing w:before="200" w:after="0" w:line="276" w:lineRule="auto"/>
              <w:jc w:val="center"/>
              <w:rPr>
                <w:rFonts w:ascii="Arial" w:eastAsia="Times New Roman" w:hAnsi="Arial" w:cs="Arial"/>
                <w:sz w:val="20"/>
                <w:szCs w:val="20"/>
                <w:lang w:eastAsia="fr-FR"/>
              </w:rPr>
            </w:pPr>
            <w:r w:rsidRPr="005E6A12">
              <w:rPr>
                <w:rFonts w:ascii="Arial" w:eastAsia="Times New Roman" w:hAnsi="Arial" w:cs="Arial"/>
                <w:color w:val="000000" w:themeColor="dark1"/>
                <w:kern w:val="24"/>
                <w:sz w:val="20"/>
                <w:szCs w:val="20"/>
                <w:lang w:eastAsia="fr-FR"/>
              </w:rPr>
              <w:t>Approche risque/sauvegarde pour les autres services</w:t>
            </w:r>
          </w:p>
        </w:tc>
      </w:tr>
      <w:tr w:rsidR="0043187C" w:rsidRPr="005E6A12" w:rsidTr="0043187C">
        <w:trPr>
          <w:trHeight w:val="1453"/>
        </w:trPr>
        <w:tc>
          <w:tcPr>
            <w:tcW w:w="3080" w:type="dxa"/>
            <w:tcBorders>
              <w:top w:val="single" w:sz="8" w:space="0" w:color="FFFFFF"/>
              <w:left w:val="single" w:sz="8" w:space="0" w:color="FFFFFF"/>
              <w:bottom w:val="single" w:sz="8" w:space="0" w:color="FFFFFF"/>
              <w:right w:val="single" w:sz="8" w:space="0" w:color="FFFFFF"/>
            </w:tcBorders>
            <w:shd w:val="clear" w:color="auto" w:fill="0099CC"/>
            <w:tcMar>
              <w:top w:w="15" w:type="dxa"/>
              <w:left w:w="108" w:type="dxa"/>
              <w:bottom w:w="0" w:type="dxa"/>
              <w:right w:w="108" w:type="dxa"/>
            </w:tcMar>
            <w:hideMark/>
          </w:tcPr>
          <w:p w:rsidR="0043187C" w:rsidRPr="005641C2" w:rsidRDefault="0043187C" w:rsidP="0043187C">
            <w:pPr>
              <w:spacing w:before="200" w:after="0" w:line="276" w:lineRule="auto"/>
              <w:rPr>
                <w:rFonts w:ascii="Arial" w:eastAsia="Times New Roman" w:hAnsi="Arial" w:cs="Arial"/>
                <w:sz w:val="20"/>
                <w:szCs w:val="20"/>
                <w:lang w:eastAsia="fr-FR"/>
              </w:rPr>
            </w:pPr>
            <w:r w:rsidRPr="005641C2">
              <w:rPr>
                <w:rFonts w:ascii="Arial" w:eastAsia="Times New Roman" w:hAnsi="Arial" w:cs="Arial"/>
                <w:b/>
                <w:bCs/>
                <w:color w:val="FFFFFF" w:themeColor="light1"/>
                <w:kern w:val="24"/>
                <w:sz w:val="20"/>
                <w:szCs w:val="20"/>
                <w:lang w:eastAsia="fr-FR"/>
              </w:rPr>
              <w:t>Mère ou filiale dans UE</w:t>
            </w:r>
          </w:p>
        </w:tc>
        <w:tc>
          <w:tcPr>
            <w:tcW w:w="2980" w:type="dxa"/>
            <w:tcBorders>
              <w:top w:val="single" w:sz="8" w:space="0" w:color="FFFFFF"/>
              <w:left w:val="single" w:sz="8" w:space="0" w:color="FFFFFF"/>
              <w:bottom w:val="single" w:sz="8" w:space="0" w:color="FFFFFF"/>
              <w:right w:val="single" w:sz="8" w:space="0" w:color="FFFFFF"/>
            </w:tcBorders>
            <w:shd w:val="clear" w:color="auto" w:fill="E7EFF6"/>
            <w:tcMar>
              <w:top w:w="15" w:type="dxa"/>
              <w:left w:w="108" w:type="dxa"/>
              <w:bottom w:w="0" w:type="dxa"/>
              <w:right w:w="108" w:type="dxa"/>
            </w:tcMar>
            <w:hideMark/>
          </w:tcPr>
          <w:p w:rsidR="0043187C" w:rsidRPr="005E6A12" w:rsidRDefault="0043187C" w:rsidP="0043187C">
            <w:pPr>
              <w:spacing w:before="200" w:after="0" w:line="276" w:lineRule="auto"/>
              <w:jc w:val="center"/>
              <w:rPr>
                <w:rFonts w:ascii="Arial" w:eastAsia="Times New Roman" w:hAnsi="Arial" w:cs="Arial"/>
                <w:sz w:val="20"/>
                <w:szCs w:val="20"/>
                <w:lang w:eastAsia="fr-FR"/>
              </w:rPr>
            </w:pPr>
            <w:r w:rsidRPr="005E6A12">
              <w:rPr>
                <w:rFonts w:ascii="Arial" w:eastAsia="Times New Roman" w:hAnsi="Arial" w:cs="Arial"/>
                <w:color w:val="000000" w:themeColor="dark1"/>
                <w:kern w:val="24"/>
                <w:sz w:val="20"/>
                <w:szCs w:val="20"/>
                <w:lang w:eastAsia="fr-FR"/>
              </w:rPr>
              <w:t>16 services interdits</w:t>
            </w:r>
          </w:p>
          <w:p w:rsidR="0043187C" w:rsidRPr="005E6A12" w:rsidRDefault="0043187C" w:rsidP="0043187C">
            <w:pPr>
              <w:spacing w:before="200" w:after="0" w:line="276" w:lineRule="auto"/>
              <w:jc w:val="center"/>
              <w:rPr>
                <w:rFonts w:ascii="Arial" w:eastAsia="Times New Roman" w:hAnsi="Arial" w:cs="Arial"/>
                <w:sz w:val="20"/>
                <w:szCs w:val="20"/>
                <w:lang w:eastAsia="fr-FR"/>
              </w:rPr>
            </w:pPr>
            <w:r w:rsidRPr="005E6A12">
              <w:rPr>
                <w:rFonts w:ascii="Arial" w:eastAsia="Times New Roman" w:hAnsi="Arial" w:cs="Arial"/>
                <w:color w:val="000000" w:themeColor="dark1"/>
                <w:kern w:val="24"/>
                <w:sz w:val="20"/>
                <w:szCs w:val="20"/>
                <w:lang w:eastAsia="fr-FR"/>
              </w:rPr>
              <w:t>Approche risque/sauvegarde pour les autres services</w:t>
            </w:r>
          </w:p>
        </w:tc>
        <w:tc>
          <w:tcPr>
            <w:tcW w:w="3360" w:type="dxa"/>
            <w:tcBorders>
              <w:top w:val="single" w:sz="8" w:space="0" w:color="FFFFFF"/>
              <w:left w:val="single" w:sz="8" w:space="0" w:color="FFFFFF"/>
              <w:bottom w:val="single" w:sz="8" w:space="0" w:color="FFFFFF"/>
              <w:right w:val="single" w:sz="8" w:space="0" w:color="FFFFFF"/>
            </w:tcBorders>
            <w:shd w:val="clear" w:color="auto" w:fill="E7EFF6"/>
            <w:tcMar>
              <w:top w:w="15" w:type="dxa"/>
              <w:left w:w="108" w:type="dxa"/>
              <w:bottom w:w="0" w:type="dxa"/>
              <w:right w:w="108" w:type="dxa"/>
            </w:tcMar>
            <w:hideMark/>
          </w:tcPr>
          <w:p w:rsidR="0043187C" w:rsidRPr="005E6A12" w:rsidRDefault="0043187C" w:rsidP="0043187C">
            <w:pPr>
              <w:spacing w:before="200" w:after="0" w:line="276" w:lineRule="auto"/>
              <w:jc w:val="center"/>
              <w:rPr>
                <w:rFonts w:ascii="Arial" w:eastAsia="Times New Roman" w:hAnsi="Arial" w:cs="Arial"/>
                <w:sz w:val="20"/>
                <w:szCs w:val="20"/>
                <w:lang w:eastAsia="fr-FR"/>
              </w:rPr>
            </w:pPr>
            <w:r w:rsidRPr="005E6A12">
              <w:rPr>
                <w:rFonts w:ascii="Arial" w:eastAsia="Times New Roman" w:hAnsi="Arial" w:cs="Arial"/>
                <w:color w:val="000000" w:themeColor="dark1"/>
                <w:kern w:val="24"/>
                <w:sz w:val="20"/>
                <w:szCs w:val="20"/>
                <w:lang w:eastAsia="fr-FR"/>
              </w:rPr>
              <w:t xml:space="preserve">3 services interdits </w:t>
            </w:r>
            <w:r w:rsidRPr="000D7182">
              <w:rPr>
                <w:rFonts w:ascii="Arial" w:eastAsia="Times New Roman" w:hAnsi="Arial" w:cs="Arial"/>
                <w:b/>
                <w:color w:val="FF0000"/>
                <w:kern w:val="24"/>
                <w:sz w:val="20"/>
                <w:szCs w:val="20"/>
                <w:lang w:eastAsia="fr-FR"/>
              </w:rPr>
              <w:t>*</w:t>
            </w:r>
          </w:p>
          <w:p w:rsidR="0043187C" w:rsidRPr="005E6A12" w:rsidRDefault="0043187C" w:rsidP="0043187C">
            <w:pPr>
              <w:spacing w:before="200" w:after="0" w:line="276" w:lineRule="auto"/>
              <w:jc w:val="center"/>
              <w:rPr>
                <w:rFonts w:ascii="Arial" w:eastAsia="Times New Roman" w:hAnsi="Arial" w:cs="Arial"/>
                <w:sz w:val="20"/>
                <w:szCs w:val="20"/>
                <w:lang w:eastAsia="fr-FR"/>
              </w:rPr>
            </w:pPr>
            <w:r w:rsidRPr="005E6A12">
              <w:rPr>
                <w:rFonts w:ascii="Arial" w:eastAsia="Times New Roman" w:hAnsi="Arial" w:cs="Arial"/>
                <w:color w:val="000000" w:themeColor="dark1"/>
                <w:kern w:val="24"/>
                <w:sz w:val="20"/>
                <w:szCs w:val="20"/>
                <w:lang w:eastAsia="fr-FR"/>
              </w:rPr>
              <w:t>Approche risque/sauvegarde pour les autres services</w:t>
            </w:r>
          </w:p>
        </w:tc>
      </w:tr>
      <w:tr w:rsidR="0043187C" w:rsidRPr="005E6A12" w:rsidTr="0043187C">
        <w:trPr>
          <w:trHeight w:val="1453"/>
        </w:trPr>
        <w:tc>
          <w:tcPr>
            <w:tcW w:w="3080" w:type="dxa"/>
            <w:tcBorders>
              <w:top w:val="single" w:sz="8" w:space="0" w:color="FFFFFF"/>
              <w:left w:val="single" w:sz="8" w:space="0" w:color="FFFFFF"/>
              <w:bottom w:val="single" w:sz="8" w:space="0" w:color="FFFFFF"/>
              <w:right w:val="single" w:sz="8" w:space="0" w:color="FFFFFF"/>
            </w:tcBorders>
            <w:shd w:val="clear" w:color="auto" w:fill="0099CC"/>
            <w:tcMar>
              <w:top w:w="15" w:type="dxa"/>
              <w:left w:w="108" w:type="dxa"/>
              <w:bottom w:w="0" w:type="dxa"/>
              <w:right w:w="108" w:type="dxa"/>
            </w:tcMar>
            <w:hideMark/>
          </w:tcPr>
          <w:p w:rsidR="0043187C" w:rsidRPr="005641C2" w:rsidRDefault="0043187C" w:rsidP="0043187C">
            <w:pPr>
              <w:spacing w:before="200" w:after="0" w:line="276" w:lineRule="auto"/>
              <w:rPr>
                <w:rFonts w:ascii="Arial" w:eastAsia="Times New Roman" w:hAnsi="Arial" w:cs="Arial"/>
                <w:sz w:val="20"/>
                <w:szCs w:val="20"/>
                <w:lang w:eastAsia="fr-FR"/>
              </w:rPr>
            </w:pPr>
            <w:r w:rsidRPr="005641C2">
              <w:rPr>
                <w:rFonts w:ascii="Arial" w:eastAsia="Times New Roman" w:hAnsi="Arial" w:cs="Arial"/>
                <w:b/>
                <w:bCs/>
                <w:color w:val="FFFFFF" w:themeColor="light1"/>
                <w:kern w:val="24"/>
                <w:sz w:val="20"/>
                <w:szCs w:val="20"/>
                <w:lang w:eastAsia="fr-FR"/>
              </w:rPr>
              <w:t>Mère ou filiale hors UE</w:t>
            </w:r>
          </w:p>
        </w:tc>
        <w:tc>
          <w:tcPr>
            <w:tcW w:w="2980" w:type="dxa"/>
            <w:tcBorders>
              <w:top w:val="single" w:sz="8" w:space="0" w:color="FFFFFF"/>
              <w:left w:val="single" w:sz="8" w:space="0" w:color="FFFFFF"/>
              <w:bottom w:val="single" w:sz="8" w:space="0" w:color="FFFFFF"/>
              <w:right w:val="single" w:sz="8" w:space="0" w:color="FFFFFF"/>
            </w:tcBorders>
            <w:shd w:val="clear" w:color="auto" w:fill="CBDEEC"/>
            <w:tcMar>
              <w:top w:w="15" w:type="dxa"/>
              <w:left w:w="108" w:type="dxa"/>
              <w:bottom w:w="0" w:type="dxa"/>
              <w:right w:w="108" w:type="dxa"/>
            </w:tcMar>
            <w:hideMark/>
          </w:tcPr>
          <w:p w:rsidR="0043187C" w:rsidRPr="005E6A12" w:rsidRDefault="0043187C" w:rsidP="0043187C">
            <w:pPr>
              <w:spacing w:before="200" w:after="0" w:line="276" w:lineRule="auto"/>
              <w:jc w:val="center"/>
              <w:rPr>
                <w:rFonts w:ascii="Arial" w:eastAsia="Times New Roman" w:hAnsi="Arial" w:cs="Arial"/>
                <w:sz w:val="20"/>
                <w:szCs w:val="20"/>
                <w:lang w:eastAsia="fr-FR"/>
              </w:rPr>
            </w:pPr>
            <w:r w:rsidRPr="005E6A12">
              <w:rPr>
                <w:rFonts w:ascii="Arial" w:eastAsia="Times New Roman" w:hAnsi="Arial" w:cs="Arial"/>
                <w:color w:val="000000" w:themeColor="dark1"/>
                <w:kern w:val="24"/>
                <w:sz w:val="20"/>
                <w:szCs w:val="20"/>
                <w:lang w:eastAsia="fr-FR"/>
              </w:rPr>
              <w:t>Pas d’interdiction</w:t>
            </w:r>
          </w:p>
          <w:p w:rsidR="0043187C" w:rsidRPr="005E6A12" w:rsidRDefault="0043187C" w:rsidP="0043187C">
            <w:pPr>
              <w:spacing w:before="200" w:after="0" w:line="276" w:lineRule="auto"/>
              <w:jc w:val="center"/>
              <w:rPr>
                <w:rFonts w:ascii="Arial" w:eastAsia="Times New Roman" w:hAnsi="Arial" w:cs="Arial"/>
                <w:sz w:val="20"/>
                <w:szCs w:val="20"/>
                <w:lang w:eastAsia="fr-FR"/>
              </w:rPr>
            </w:pPr>
            <w:r w:rsidRPr="005E6A12">
              <w:rPr>
                <w:rFonts w:ascii="Arial" w:eastAsia="Times New Roman" w:hAnsi="Arial" w:cs="Arial"/>
                <w:color w:val="000000" w:themeColor="dark1"/>
                <w:kern w:val="24"/>
                <w:sz w:val="20"/>
                <w:szCs w:val="20"/>
                <w:lang w:eastAsia="fr-FR"/>
              </w:rPr>
              <w:t>Approche risque/sauvegarde</w:t>
            </w:r>
          </w:p>
        </w:tc>
        <w:tc>
          <w:tcPr>
            <w:tcW w:w="3360" w:type="dxa"/>
            <w:tcBorders>
              <w:top w:val="single" w:sz="8" w:space="0" w:color="FFFFFF"/>
              <w:left w:val="single" w:sz="8" w:space="0" w:color="FFFFFF"/>
              <w:bottom w:val="single" w:sz="8" w:space="0" w:color="FFFFFF"/>
              <w:right w:val="single" w:sz="8" w:space="0" w:color="FFFFFF"/>
            </w:tcBorders>
            <w:shd w:val="clear" w:color="auto" w:fill="CBDEEC"/>
            <w:tcMar>
              <w:top w:w="15" w:type="dxa"/>
              <w:left w:w="108" w:type="dxa"/>
              <w:bottom w:w="0" w:type="dxa"/>
              <w:right w:w="108" w:type="dxa"/>
            </w:tcMar>
            <w:hideMark/>
          </w:tcPr>
          <w:p w:rsidR="0043187C" w:rsidRPr="005E6A12" w:rsidRDefault="0043187C" w:rsidP="0043187C">
            <w:pPr>
              <w:spacing w:before="200" w:after="0" w:line="276" w:lineRule="auto"/>
              <w:jc w:val="center"/>
              <w:rPr>
                <w:rFonts w:ascii="Arial" w:eastAsia="Times New Roman" w:hAnsi="Arial" w:cs="Arial"/>
                <w:sz w:val="20"/>
                <w:szCs w:val="20"/>
                <w:lang w:eastAsia="fr-FR"/>
              </w:rPr>
            </w:pPr>
            <w:r w:rsidRPr="005E6A12">
              <w:rPr>
                <w:rFonts w:ascii="Arial" w:eastAsia="Times New Roman" w:hAnsi="Arial" w:cs="Arial"/>
                <w:color w:val="000000" w:themeColor="dark1"/>
                <w:kern w:val="24"/>
                <w:sz w:val="20"/>
                <w:szCs w:val="20"/>
                <w:lang w:eastAsia="fr-FR"/>
              </w:rPr>
              <w:t xml:space="preserve">3 services interdits </w:t>
            </w:r>
            <w:r w:rsidRPr="000D7182">
              <w:rPr>
                <w:rFonts w:ascii="Arial" w:eastAsia="Times New Roman" w:hAnsi="Arial" w:cs="Arial"/>
                <w:b/>
                <w:color w:val="FF0000"/>
                <w:kern w:val="24"/>
                <w:sz w:val="20"/>
                <w:szCs w:val="20"/>
                <w:lang w:eastAsia="fr-FR"/>
              </w:rPr>
              <w:t>*</w:t>
            </w:r>
          </w:p>
          <w:p w:rsidR="0043187C" w:rsidRPr="005E6A12" w:rsidRDefault="0043187C" w:rsidP="0043187C">
            <w:pPr>
              <w:spacing w:before="200" w:after="0" w:line="276" w:lineRule="auto"/>
              <w:jc w:val="center"/>
              <w:rPr>
                <w:rFonts w:ascii="Arial" w:eastAsia="Times New Roman" w:hAnsi="Arial" w:cs="Arial"/>
                <w:sz w:val="20"/>
                <w:szCs w:val="20"/>
                <w:lang w:eastAsia="fr-FR"/>
              </w:rPr>
            </w:pPr>
            <w:r w:rsidRPr="005E6A12">
              <w:rPr>
                <w:rFonts w:ascii="Arial" w:eastAsia="Times New Roman" w:hAnsi="Arial" w:cs="Arial"/>
                <w:color w:val="000000" w:themeColor="dark1"/>
                <w:kern w:val="24"/>
                <w:sz w:val="20"/>
                <w:szCs w:val="20"/>
                <w:lang w:eastAsia="fr-FR"/>
              </w:rPr>
              <w:t>Approche risque/sauvegarde pour les autres services</w:t>
            </w:r>
          </w:p>
        </w:tc>
      </w:tr>
    </w:tbl>
    <w:p w:rsidR="000D7182" w:rsidRPr="000D7182" w:rsidRDefault="000D7182" w:rsidP="000D7182">
      <w:pPr>
        <w:jc w:val="both"/>
        <w:rPr>
          <w:rFonts w:ascii="Arial" w:hAnsi="Arial" w:cs="Arial"/>
          <w:sz w:val="16"/>
          <w:szCs w:val="20"/>
        </w:rPr>
      </w:pPr>
      <w:r w:rsidRPr="000D7182">
        <w:rPr>
          <w:rFonts w:ascii="Arial" w:hAnsi="Arial" w:cs="Arial"/>
          <w:b/>
          <w:bCs/>
          <w:color w:val="FF0000"/>
          <w:sz w:val="16"/>
          <w:szCs w:val="20"/>
        </w:rPr>
        <w:t>*</w:t>
      </w:r>
      <w:r w:rsidRPr="000D7182">
        <w:rPr>
          <w:rFonts w:ascii="Arial" w:hAnsi="Arial" w:cs="Arial"/>
          <w:sz w:val="16"/>
          <w:szCs w:val="20"/>
        </w:rPr>
        <w:t xml:space="preserve"> 1) services ayant pour objet la tenue de la comptabilité, la préparation et l'établissement des comptes et l'élaboration d'une information ou une communication financière, lorsqu'ils sont inclus dans les comptes consolidés soumis à la certification du commissaire aux comptes</w:t>
      </w:r>
    </w:p>
    <w:p w:rsidR="000D7182" w:rsidRPr="000D7182" w:rsidRDefault="000D7182" w:rsidP="000D7182">
      <w:pPr>
        <w:jc w:val="both"/>
        <w:rPr>
          <w:rFonts w:ascii="Arial" w:hAnsi="Arial" w:cs="Arial"/>
          <w:sz w:val="16"/>
          <w:szCs w:val="20"/>
        </w:rPr>
      </w:pPr>
      <w:r w:rsidRPr="000D7182">
        <w:rPr>
          <w:rFonts w:ascii="Arial" w:hAnsi="Arial" w:cs="Arial"/>
          <w:sz w:val="16"/>
          <w:szCs w:val="20"/>
        </w:rPr>
        <w:t> 2) conception et la mise en œuvre de procédures de contrôle interne ou de gestion des risques relatives à l’élaboration ou au contrôle des informations comptables ou financières incluses dans les comptes consolidés soumis à la certification du commissaire aux comptes ;</w:t>
      </w:r>
    </w:p>
    <w:p w:rsidR="000D7182" w:rsidRPr="000D7182" w:rsidRDefault="000D7182" w:rsidP="000D7182">
      <w:pPr>
        <w:jc w:val="both"/>
        <w:rPr>
          <w:rFonts w:ascii="Arial" w:hAnsi="Arial" w:cs="Arial"/>
          <w:sz w:val="16"/>
          <w:szCs w:val="20"/>
        </w:rPr>
      </w:pPr>
      <w:r w:rsidRPr="000D7182">
        <w:rPr>
          <w:rFonts w:ascii="Arial" w:hAnsi="Arial" w:cs="Arial"/>
          <w:i/>
          <w:iCs/>
          <w:sz w:val="16"/>
          <w:szCs w:val="20"/>
        </w:rPr>
        <w:t> </w:t>
      </w:r>
      <w:r w:rsidRPr="000D7182">
        <w:rPr>
          <w:rFonts w:ascii="Arial" w:hAnsi="Arial" w:cs="Arial"/>
          <w:sz w:val="16"/>
          <w:szCs w:val="20"/>
        </w:rPr>
        <w:t>3) services qui supposent d'être associé à la gestion ou à la prise de décision de l'entité dont les comptes sont certifiés.</w:t>
      </w:r>
    </w:p>
    <w:p w:rsidR="000D7182" w:rsidRPr="000D7182" w:rsidRDefault="000D7182" w:rsidP="000D7182">
      <w:pPr>
        <w:rPr>
          <w:rFonts w:ascii="Arial" w:hAnsi="Arial" w:cs="Arial"/>
          <w:sz w:val="20"/>
          <w:szCs w:val="20"/>
        </w:rPr>
      </w:pPr>
    </w:p>
    <w:tbl>
      <w:tblPr>
        <w:tblStyle w:val="Grilledutableau"/>
        <w:tblW w:w="0" w:type="auto"/>
        <w:tblInd w:w="108"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180"/>
      </w:tblGrid>
      <w:tr w:rsidR="000D7182" w:rsidRPr="000D7182" w:rsidTr="002C5B1B">
        <w:tc>
          <w:tcPr>
            <w:tcW w:w="9214" w:type="dxa"/>
          </w:tcPr>
          <w:p w:rsidR="000D7182" w:rsidRPr="000D7182" w:rsidRDefault="000D7182" w:rsidP="002C5B1B">
            <w:pPr>
              <w:rPr>
                <w:rFonts w:ascii="Arial" w:hAnsi="Arial" w:cs="Arial"/>
                <w:b/>
                <w:color w:val="5B9BD5" w:themeColor="accent1"/>
                <w:sz w:val="20"/>
                <w:szCs w:val="20"/>
              </w:rPr>
            </w:pPr>
          </w:p>
          <w:p w:rsidR="000D7182" w:rsidRPr="000D7182" w:rsidRDefault="000D7182" w:rsidP="002C5B1B">
            <w:pPr>
              <w:rPr>
                <w:rFonts w:ascii="Arial" w:hAnsi="Arial" w:cs="Arial"/>
                <w:b/>
                <w:color w:val="5B9BD5" w:themeColor="accent1"/>
                <w:sz w:val="20"/>
                <w:szCs w:val="20"/>
              </w:rPr>
            </w:pPr>
            <w:r w:rsidRPr="000D7182">
              <w:rPr>
                <w:rFonts w:ascii="Arial" w:hAnsi="Arial" w:cs="Arial"/>
                <w:b/>
                <w:color w:val="5B9BD5" w:themeColor="accent1"/>
                <w:sz w:val="20"/>
                <w:szCs w:val="20"/>
              </w:rPr>
              <w:t>Proposition d’outils</w:t>
            </w:r>
          </w:p>
          <w:p w:rsidR="000D7182" w:rsidRPr="000D7182" w:rsidRDefault="000D7182" w:rsidP="002C5B1B">
            <w:pPr>
              <w:rPr>
                <w:rFonts w:ascii="Arial" w:hAnsi="Arial" w:cs="Arial"/>
                <w:b/>
                <w:color w:val="5B9BD5" w:themeColor="accent1"/>
                <w:sz w:val="20"/>
                <w:szCs w:val="20"/>
              </w:rPr>
            </w:pPr>
          </w:p>
          <w:p w:rsidR="000D7182" w:rsidRPr="000D7182" w:rsidRDefault="000D7182" w:rsidP="002C5B1B">
            <w:pPr>
              <w:rPr>
                <w:rFonts w:ascii="Arial" w:hAnsi="Arial" w:cs="Arial"/>
                <w:sz w:val="20"/>
                <w:szCs w:val="20"/>
              </w:rPr>
            </w:pPr>
            <w:r w:rsidRPr="000D7182">
              <w:rPr>
                <w:rFonts w:ascii="Arial" w:hAnsi="Arial" w:cs="Arial"/>
                <w:color w:val="5B9BD5" w:themeColor="accent1"/>
                <w:sz w:val="20"/>
                <w:szCs w:val="20"/>
              </w:rPr>
              <w:t>•</w:t>
            </w:r>
            <w:r w:rsidRPr="000D7182">
              <w:rPr>
                <w:rFonts w:ascii="Arial" w:hAnsi="Arial" w:cs="Arial"/>
                <w:sz w:val="20"/>
                <w:szCs w:val="20"/>
              </w:rPr>
              <w:t xml:space="preserve"> Questionnaire ad hoc visant à s’assurer que la mission SACC envisagée :</w:t>
            </w:r>
          </w:p>
          <w:p w:rsidR="000D7182" w:rsidRPr="000D7182" w:rsidRDefault="000D7182" w:rsidP="000D7182">
            <w:pPr>
              <w:numPr>
                <w:ilvl w:val="0"/>
                <w:numId w:val="1"/>
              </w:numPr>
              <w:rPr>
                <w:rFonts w:ascii="Arial" w:hAnsi="Arial" w:cs="Arial"/>
                <w:sz w:val="20"/>
                <w:szCs w:val="20"/>
              </w:rPr>
            </w:pPr>
            <w:r w:rsidRPr="000D7182">
              <w:rPr>
                <w:rFonts w:ascii="Arial" w:hAnsi="Arial" w:cs="Arial"/>
                <w:sz w:val="20"/>
                <w:szCs w:val="20"/>
              </w:rPr>
              <w:t>n’est pas interdite ;</w:t>
            </w:r>
          </w:p>
          <w:p w:rsidR="000D7182" w:rsidRPr="000D7182" w:rsidRDefault="000D7182" w:rsidP="000D7182">
            <w:pPr>
              <w:numPr>
                <w:ilvl w:val="0"/>
                <w:numId w:val="1"/>
              </w:numPr>
              <w:rPr>
                <w:rFonts w:ascii="Arial" w:hAnsi="Arial" w:cs="Arial"/>
                <w:sz w:val="20"/>
                <w:szCs w:val="20"/>
              </w:rPr>
            </w:pPr>
            <w:r w:rsidRPr="000D7182">
              <w:rPr>
                <w:rFonts w:ascii="Arial" w:hAnsi="Arial" w:cs="Arial"/>
                <w:sz w:val="20"/>
                <w:szCs w:val="20"/>
              </w:rPr>
              <w:t xml:space="preserve">ne compromet pas l’indépendance. </w:t>
            </w:r>
          </w:p>
          <w:p w:rsidR="000D7182" w:rsidRPr="000D7182" w:rsidRDefault="000D7182" w:rsidP="002C5B1B">
            <w:pPr>
              <w:rPr>
                <w:rFonts w:ascii="Arial" w:hAnsi="Arial" w:cs="Arial"/>
                <w:sz w:val="20"/>
                <w:szCs w:val="20"/>
              </w:rPr>
            </w:pPr>
          </w:p>
        </w:tc>
      </w:tr>
    </w:tbl>
    <w:p w:rsidR="0043187C" w:rsidRPr="000D7182" w:rsidRDefault="0043187C">
      <w:pPr>
        <w:rPr>
          <w:rFonts w:ascii="Arial" w:hAnsi="Arial" w:cs="Arial"/>
          <w:sz w:val="20"/>
          <w:szCs w:val="20"/>
        </w:rPr>
      </w:pPr>
    </w:p>
    <w:sectPr w:rsidR="0043187C" w:rsidRPr="000D7182" w:rsidSect="003B2D23">
      <w:headerReference w:type="default" r:id="rId8"/>
      <w:footerReference w:type="default" r:id="rId9"/>
      <w:pgSz w:w="11906" w:h="16838"/>
      <w:pgMar w:top="1673" w:right="1417" w:bottom="1417" w:left="1417" w:header="284" w:footer="2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A30" w:rsidRDefault="00143A30" w:rsidP="005E6A12">
      <w:pPr>
        <w:spacing w:after="0" w:line="240" w:lineRule="auto"/>
      </w:pPr>
      <w:r>
        <w:separator/>
      </w:r>
    </w:p>
  </w:endnote>
  <w:endnote w:type="continuationSeparator" w:id="0">
    <w:p w:rsidR="00143A30" w:rsidRDefault="00143A30" w:rsidP="005E6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1F4E79" w:themeColor="accent1" w:themeShade="80"/>
        <w:sz w:val="14"/>
        <w:szCs w:val="20"/>
      </w:rPr>
      <w:id w:val="-856191143"/>
      <w:docPartObj>
        <w:docPartGallery w:val="Page Numbers (Bottom of Page)"/>
        <w:docPartUnique/>
      </w:docPartObj>
    </w:sdtPr>
    <w:sdtContent>
      <w:sdt>
        <w:sdtPr>
          <w:rPr>
            <w:rFonts w:ascii="Arial" w:hAnsi="Arial" w:cs="Arial"/>
            <w:color w:val="1F4E79" w:themeColor="accent1" w:themeShade="80"/>
            <w:sz w:val="14"/>
            <w:szCs w:val="20"/>
          </w:rPr>
          <w:id w:val="860082579"/>
          <w:docPartObj>
            <w:docPartGallery w:val="Page Numbers (Top of Page)"/>
            <w:docPartUnique/>
          </w:docPartObj>
        </w:sdtPr>
        <w:sdtContent>
          <w:p w:rsidR="00FA0219" w:rsidRPr="00902A2B" w:rsidRDefault="00FA0219" w:rsidP="00FA0219">
            <w:pPr>
              <w:pStyle w:val="Pieddepage"/>
              <w:jc w:val="center"/>
              <w:rPr>
                <w:rFonts w:ascii="Arial" w:hAnsi="Arial" w:cs="Arial"/>
                <w:color w:val="1F4E79" w:themeColor="accent1" w:themeShade="80"/>
                <w:sz w:val="14"/>
                <w:szCs w:val="14"/>
              </w:rPr>
            </w:pPr>
            <w:r w:rsidRPr="00902A2B">
              <w:rPr>
                <w:rFonts w:ascii="Arial" w:hAnsi="Arial" w:cs="Arial"/>
                <w:color w:val="1F4E79" w:themeColor="accent1" w:themeShade="80"/>
                <w:sz w:val="14"/>
                <w:szCs w:val="20"/>
              </w:rPr>
              <w:t>CNCC / Commission Pôle PE / GT Organisation du cabinet / nov.2017</w:t>
            </w:r>
            <w:r>
              <w:rPr>
                <w:rFonts w:ascii="Arial" w:hAnsi="Arial" w:cs="Arial"/>
                <w:color w:val="1F4E79" w:themeColor="accent1" w:themeShade="80"/>
                <w:sz w:val="14"/>
                <w:szCs w:val="20"/>
              </w:rPr>
              <w:t xml:space="preserve">         -       </w:t>
            </w:r>
            <w:r w:rsidRPr="00902A2B">
              <w:rPr>
                <w:rFonts w:ascii="Arial" w:hAnsi="Arial" w:cs="Arial"/>
                <w:color w:val="1F4E79" w:themeColor="accent1" w:themeShade="80"/>
                <w:sz w:val="14"/>
                <w:szCs w:val="14"/>
              </w:rPr>
              <w:t>Tous droits réservés – CNCC 2017</w:t>
            </w:r>
            <w:r>
              <w:rPr>
                <w:rFonts w:ascii="Arial" w:hAnsi="Arial" w:cs="Arial"/>
                <w:color w:val="1F4E79" w:themeColor="accent1" w:themeShade="80"/>
                <w:sz w:val="14"/>
                <w:szCs w:val="14"/>
              </w:rPr>
              <w:t xml:space="preserve">            -</w:t>
            </w:r>
            <w:r w:rsidRPr="00902A2B">
              <w:rPr>
                <w:rFonts w:ascii="Arial" w:hAnsi="Arial" w:cs="Arial"/>
                <w:color w:val="1F4E79" w:themeColor="accent1" w:themeShade="80"/>
                <w:sz w:val="14"/>
                <w:szCs w:val="20"/>
              </w:rPr>
              <w:tab/>
              <w:t xml:space="preserve">Page </w:t>
            </w:r>
            <w:r w:rsidRPr="00902A2B">
              <w:rPr>
                <w:rFonts w:ascii="Arial" w:hAnsi="Arial" w:cs="Arial"/>
                <w:b/>
                <w:bCs/>
                <w:color w:val="1F4E79" w:themeColor="accent1" w:themeShade="80"/>
                <w:sz w:val="14"/>
                <w:szCs w:val="20"/>
              </w:rPr>
              <w:fldChar w:fldCharType="begin"/>
            </w:r>
            <w:r w:rsidRPr="00902A2B">
              <w:rPr>
                <w:rFonts w:ascii="Arial" w:hAnsi="Arial" w:cs="Arial"/>
                <w:b/>
                <w:bCs/>
                <w:color w:val="1F4E79" w:themeColor="accent1" w:themeShade="80"/>
                <w:sz w:val="14"/>
                <w:szCs w:val="20"/>
              </w:rPr>
              <w:instrText>PAGE</w:instrText>
            </w:r>
            <w:r w:rsidRPr="00902A2B">
              <w:rPr>
                <w:rFonts w:ascii="Arial" w:hAnsi="Arial" w:cs="Arial"/>
                <w:b/>
                <w:bCs/>
                <w:color w:val="1F4E79" w:themeColor="accent1" w:themeShade="80"/>
                <w:sz w:val="14"/>
                <w:szCs w:val="20"/>
              </w:rPr>
              <w:fldChar w:fldCharType="separate"/>
            </w:r>
            <w:r>
              <w:rPr>
                <w:rFonts w:ascii="Arial" w:hAnsi="Arial" w:cs="Arial"/>
                <w:b/>
                <w:bCs/>
                <w:noProof/>
                <w:color w:val="1F4E79" w:themeColor="accent1" w:themeShade="80"/>
                <w:sz w:val="14"/>
                <w:szCs w:val="20"/>
              </w:rPr>
              <w:t>2</w:t>
            </w:r>
            <w:r w:rsidRPr="00902A2B">
              <w:rPr>
                <w:rFonts w:ascii="Arial" w:hAnsi="Arial" w:cs="Arial"/>
                <w:b/>
                <w:bCs/>
                <w:color w:val="1F4E79" w:themeColor="accent1" w:themeShade="80"/>
                <w:sz w:val="14"/>
                <w:szCs w:val="20"/>
              </w:rPr>
              <w:fldChar w:fldCharType="end"/>
            </w:r>
            <w:r w:rsidRPr="00902A2B">
              <w:rPr>
                <w:rFonts w:ascii="Arial" w:hAnsi="Arial" w:cs="Arial"/>
                <w:color w:val="1F4E79" w:themeColor="accent1" w:themeShade="80"/>
                <w:sz w:val="14"/>
                <w:szCs w:val="20"/>
              </w:rPr>
              <w:t xml:space="preserve"> sur </w:t>
            </w:r>
            <w:r w:rsidRPr="00902A2B">
              <w:rPr>
                <w:rFonts w:ascii="Arial" w:hAnsi="Arial" w:cs="Arial"/>
                <w:b/>
                <w:bCs/>
                <w:color w:val="1F4E79" w:themeColor="accent1" w:themeShade="80"/>
                <w:sz w:val="14"/>
                <w:szCs w:val="20"/>
              </w:rPr>
              <w:fldChar w:fldCharType="begin"/>
            </w:r>
            <w:r w:rsidRPr="00902A2B">
              <w:rPr>
                <w:rFonts w:ascii="Arial" w:hAnsi="Arial" w:cs="Arial"/>
                <w:b/>
                <w:bCs/>
                <w:color w:val="1F4E79" w:themeColor="accent1" w:themeShade="80"/>
                <w:sz w:val="14"/>
                <w:szCs w:val="20"/>
              </w:rPr>
              <w:instrText>NUMPAGES</w:instrText>
            </w:r>
            <w:r w:rsidRPr="00902A2B">
              <w:rPr>
                <w:rFonts w:ascii="Arial" w:hAnsi="Arial" w:cs="Arial"/>
                <w:b/>
                <w:bCs/>
                <w:color w:val="1F4E79" w:themeColor="accent1" w:themeShade="80"/>
                <w:sz w:val="14"/>
                <w:szCs w:val="20"/>
              </w:rPr>
              <w:fldChar w:fldCharType="separate"/>
            </w:r>
            <w:r>
              <w:rPr>
                <w:rFonts w:ascii="Arial" w:hAnsi="Arial" w:cs="Arial"/>
                <w:b/>
                <w:bCs/>
                <w:noProof/>
                <w:color w:val="1F4E79" w:themeColor="accent1" w:themeShade="80"/>
                <w:sz w:val="14"/>
                <w:szCs w:val="20"/>
              </w:rPr>
              <w:t>2</w:t>
            </w:r>
            <w:r w:rsidRPr="00902A2B">
              <w:rPr>
                <w:rFonts w:ascii="Arial" w:hAnsi="Arial" w:cs="Arial"/>
                <w:b/>
                <w:bCs/>
                <w:color w:val="1F4E79" w:themeColor="accent1" w:themeShade="80"/>
                <w:sz w:val="14"/>
                <w:szCs w:val="20"/>
              </w:rPr>
              <w:fldChar w:fldCharType="end"/>
            </w:r>
          </w:p>
        </w:sdtContent>
      </w:sdt>
    </w:sdtContent>
  </w:sdt>
  <w:p w:rsidR="005E6A12" w:rsidRPr="00FA0219" w:rsidRDefault="005E6A12" w:rsidP="00FA021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A30" w:rsidRDefault="00143A30" w:rsidP="005E6A12">
      <w:pPr>
        <w:spacing w:after="0" w:line="240" w:lineRule="auto"/>
      </w:pPr>
      <w:r>
        <w:separator/>
      </w:r>
    </w:p>
  </w:footnote>
  <w:footnote w:type="continuationSeparator" w:id="0">
    <w:p w:rsidR="00143A30" w:rsidRDefault="00143A30" w:rsidP="005E6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D23" w:rsidRPr="009C1001" w:rsidRDefault="003B2D23" w:rsidP="003B2D23">
    <w:pPr>
      <w:pStyle w:val="En-tte"/>
      <w:pBdr>
        <w:top w:val="double" w:sz="4" w:space="1" w:color="auto"/>
        <w:left w:val="double" w:sz="4" w:space="4" w:color="auto"/>
        <w:bottom w:val="double" w:sz="4" w:space="1" w:color="auto"/>
        <w:right w:val="double" w:sz="4" w:space="4" w:color="auto"/>
      </w:pBdr>
      <w:tabs>
        <w:tab w:val="clear" w:pos="4536"/>
        <w:tab w:val="clear" w:pos="9072"/>
        <w:tab w:val="left" w:pos="1276"/>
        <w:tab w:val="left" w:pos="7088"/>
      </w:tabs>
      <w:rPr>
        <w:rFonts w:ascii="Arial" w:hAnsi="Arial" w:cs="Arial"/>
        <w:sz w:val="20"/>
      </w:rPr>
    </w:pPr>
    <w:r w:rsidRPr="009C1001">
      <w:rPr>
        <w:rFonts w:ascii="Arial" w:hAnsi="Arial" w:cs="Arial"/>
        <w:noProof/>
        <w:sz w:val="20"/>
        <w:lang w:eastAsia="fr-FR"/>
      </w:rPr>
      <mc:AlternateContent>
        <mc:Choice Requires="wps">
          <w:drawing>
            <wp:anchor distT="0" distB="0" distL="114300" distR="114300" simplePos="0" relativeHeight="251659264" behindDoc="0" locked="0" layoutInCell="1" allowOverlap="1" wp14:anchorId="0623A30F" wp14:editId="20333AC9">
              <wp:simplePos x="0" y="0"/>
              <wp:positionH relativeFrom="column">
                <wp:posOffset>14605</wp:posOffset>
              </wp:positionH>
              <wp:positionV relativeFrom="paragraph">
                <wp:posOffset>88900</wp:posOffset>
              </wp:positionV>
              <wp:extent cx="701040" cy="525780"/>
              <wp:effectExtent l="0" t="0" r="22860" b="2667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525780"/>
                      </a:xfrm>
                      <a:prstGeom prst="rect">
                        <a:avLst/>
                      </a:prstGeom>
                      <a:solidFill>
                        <a:srgbClr val="FFFFFF"/>
                      </a:solidFill>
                      <a:ln w="9525">
                        <a:solidFill>
                          <a:srgbClr val="000000"/>
                        </a:solidFill>
                        <a:miter lim="800000"/>
                        <a:headEnd/>
                        <a:tailEnd/>
                      </a:ln>
                    </wps:spPr>
                    <wps:txbx>
                      <w:txbxContent>
                        <w:p w:rsidR="003B2D23" w:rsidRPr="0096109E" w:rsidRDefault="003B2D23" w:rsidP="003B2D23">
                          <w:pPr>
                            <w:rPr>
                              <w:rFonts w:ascii="Arial" w:hAnsi="Arial" w:cs="Arial"/>
                              <w:i/>
                              <w:sz w:val="20"/>
                            </w:rPr>
                          </w:pPr>
                          <w:r w:rsidRPr="0096109E">
                            <w:rPr>
                              <w:rFonts w:ascii="Arial" w:hAnsi="Arial" w:cs="Arial"/>
                              <w:i/>
                              <w:sz w:val="20"/>
                            </w:rPr>
                            <w:t>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15pt;margin-top:7pt;width:55.2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">
              <v:textbox>
                <w:txbxContent>
                  <w:p w:rsidR="003B2D23" w:rsidRPr="0096109E" w:rsidRDefault="003B2D23" w:rsidP="003B2D23">
                    <w:pPr>
                      <w:rPr>
                        <w:rFonts w:ascii="Arial" w:hAnsi="Arial" w:cs="Arial"/>
                        <w:i/>
                        <w:sz w:val="20"/>
                      </w:rPr>
                    </w:pPr>
                    <w:r w:rsidRPr="0096109E">
                      <w:rPr>
                        <w:rFonts w:ascii="Arial" w:hAnsi="Arial" w:cs="Arial"/>
                        <w:i/>
                        <w:sz w:val="20"/>
                      </w:rPr>
                      <w:t>Logo</w:t>
                    </w:r>
                  </w:p>
                </w:txbxContent>
              </v:textbox>
            </v:shape>
          </w:pict>
        </mc:Fallback>
      </mc:AlternateContent>
    </w:r>
    <w:r w:rsidRPr="009C1001">
      <w:rPr>
        <w:rFonts w:ascii="Arial" w:hAnsi="Arial" w:cs="Arial"/>
        <w:sz w:val="20"/>
      </w:rPr>
      <w:tab/>
      <w:t>Cabinet :</w:t>
    </w:r>
    <w:r w:rsidRPr="009C1001">
      <w:rPr>
        <w:rFonts w:ascii="Arial" w:hAnsi="Arial" w:cs="Arial"/>
        <w:sz w:val="20"/>
      </w:rPr>
      <w:tab/>
      <w:t xml:space="preserve">Référence : </w:t>
    </w:r>
  </w:p>
  <w:p w:rsidR="003B2D23" w:rsidRPr="0096109E" w:rsidRDefault="003B2D23" w:rsidP="003B2D23">
    <w:pPr>
      <w:pStyle w:val="En-tte"/>
      <w:pBdr>
        <w:top w:val="double" w:sz="4" w:space="1" w:color="auto"/>
        <w:left w:val="double" w:sz="4" w:space="4" w:color="auto"/>
        <w:bottom w:val="double" w:sz="4" w:space="1" w:color="auto"/>
        <w:right w:val="double" w:sz="4" w:space="4" w:color="auto"/>
      </w:pBdr>
      <w:tabs>
        <w:tab w:val="clear" w:pos="4536"/>
        <w:tab w:val="clear" w:pos="9072"/>
        <w:tab w:val="left" w:pos="1701"/>
        <w:tab w:val="left" w:pos="7088"/>
      </w:tabs>
      <w:rPr>
        <w:rFonts w:ascii="Arial" w:hAnsi="Arial" w:cs="Arial"/>
      </w:rPr>
    </w:pPr>
    <w:r>
      <w:tab/>
    </w:r>
    <w:r>
      <w:tab/>
    </w:r>
    <w:r w:rsidRPr="0096109E">
      <w:rPr>
        <w:rFonts w:ascii="Arial" w:hAnsi="Arial" w:cs="Arial"/>
        <w:sz w:val="20"/>
      </w:rPr>
      <w:t>Date :</w:t>
    </w:r>
  </w:p>
  <w:p w:rsidR="003B2D23" w:rsidRDefault="003B2D23" w:rsidP="003B2D23">
    <w:pPr>
      <w:pStyle w:val="En-tte"/>
      <w:pBdr>
        <w:top w:val="double" w:sz="4" w:space="1" w:color="auto"/>
        <w:left w:val="double" w:sz="4" w:space="4" w:color="auto"/>
        <w:bottom w:val="double" w:sz="4" w:space="1" w:color="auto"/>
        <w:right w:val="double" w:sz="4" w:space="4" w:color="auto"/>
      </w:pBdr>
      <w:tabs>
        <w:tab w:val="clear" w:pos="4536"/>
        <w:tab w:val="clear" w:pos="9072"/>
        <w:tab w:val="left" w:pos="1701"/>
        <w:tab w:val="left" w:pos="7088"/>
      </w:tabs>
    </w:pPr>
  </w:p>
  <w:p w:rsidR="003B2D23" w:rsidRDefault="003B2D23" w:rsidP="003B2D23">
    <w:pPr>
      <w:pStyle w:val="En-tte"/>
      <w:pBdr>
        <w:top w:val="double" w:sz="4" w:space="1" w:color="auto"/>
        <w:left w:val="double" w:sz="4" w:space="4" w:color="auto"/>
        <w:bottom w:val="double" w:sz="4" w:space="1" w:color="auto"/>
        <w:right w:val="double" w:sz="4" w:space="4" w:color="auto"/>
      </w:pBdr>
      <w:tabs>
        <w:tab w:val="clear" w:pos="4536"/>
        <w:tab w:val="clear" w:pos="9072"/>
        <w:tab w:val="left" w:pos="1701"/>
        <w:tab w:val="left" w:pos="7088"/>
      </w:tabs>
    </w:pPr>
  </w:p>
  <w:p w:rsidR="005E6A12" w:rsidRPr="003B2D23" w:rsidRDefault="005E6A12" w:rsidP="003B2D2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B26D2"/>
    <w:multiLevelType w:val="hybridMultilevel"/>
    <w:tmpl w:val="E42E7504"/>
    <w:lvl w:ilvl="0" w:tplc="2AD47D7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FA8"/>
    <w:rsid w:val="000D7182"/>
    <w:rsid w:val="00143A30"/>
    <w:rsid w:val="001B3CFD"/>
    <w:rsid w:val="0026432F"/>
    <w:rsid w:val="003103A3"/>
    <w:rsid w:val="003B2D23"/>
    <w:rsid w:val="0043187C"/>
    <w:rsid w:val="005641C2"/>
    <w:rsid w:val="005A2293"/>
    <w:rsid w:val="005E6A12"/>
    <w:rsid w:val="006238AA"/>
    <w:rsid w:val="006A4FA8"/>
    <w:rsid w:val="0072571B"/>
    <w:rsid w:val="0088004B"/>
    <w:rsid w:val="00B1342A"/>
    <w:rsid w:val="00EB64FC"/>
    <w:rsid w:val="00FA02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3187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odelelettretitre">
    <w:name w:val="Modele lettre titre"/>
    <w:basedOn w:val="Normal"/>
    <w:rsid w:val="005E6A12"/>
    <w:pPr>
      <w:widowControl w:val="0"/>
      <w:suppressAutoHyphens/>
      <w:spacing w:after="0" w:line="240" w:lineRule="auto"/>
      <w:ind w:left="2268"/>
    </w:pPr>
    <w:rPr>
      <w:rFonts w:ascii="Arial" w:eastAsia="Arial Unicode MS" w:hAnsi="Arial" w:cs="Times New Roman"/>
      <w:b/>
      <w:sz w:val="28"/>
      <w:szCs w:val="24"/>
    </w:rPr>
  </w:style>
  <w:style w:type="paragraph" w:styleId="En-tte">
    <w:name w:val="header"/>
    <w:basedOn w:val="Normal"/>
    <w:link w:val="En-tteCar"/>
    <w:uiPriority w:val="99"/>
    <w:unhideWhenUsed/>
    <w:rsid w:val="005E6A12"/>
    <w:pPr>
      <w:tabs>
        <w:tab w:val="center" w:pos="4536"/>
        <w:tab w:val="right" w:pos="9072"/>
      </w:tabs>
      <w:spacing w:after="0" w:line="240" w:lineRule="auto"/>
    </w:pPr>
  </w:style>
  <w:style w:type="character" w:customStyle="1" w:styleId="En-tteCar">
    <w:name w:val="En-tête Car"/>
    <w:basedOn w:val="Policepardfaut"/>
    <w:link w:val="En-tte"/>
    <w:uiPriority w:val="99"/>
    <w:rsid w:val="005E6A12"/>
  </w:style>
  <w:style w:type="paragraph" w:styleId="Pieddepage">
    <w:name w:val="footer"/>
    <w:basedOn w:val="Normal"/>
    <w:link w:val="PieddepageCar"/>
    <w:uiPriority w:val="99"/>
    <w:unhideWhenUsed/>
    <w:rsid w:val="005E6A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6A12"/>
  </w:style>
  <w:style w:type="table" w:styleId="Grilledutableau">
    <w:name w:val="Table Grid"/>
    <w:basedOn w:val="TableauNormal"/>
    <w:uiPriority w:val="59"/>
    <w:rsid w:val="000D718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3187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odelelettretitre">
    <w:name w:val="Modele lettre titre"/>
    <w:basedOn w:val="Normal"/>
    <w:rsid w:val="005E6A12"/>
    <w:pPr>
      <w:widowControl w:val="0"/>
      <w:suppressAutoHyphens/>
      <w:spacing w:after="0" w:line="240" w:lineRule="auto"/>
      <w:ind w:left="2268"/>
    </w:pPr>
    <w:rPr>
      <w:rFonts w:ascii="Arial" w:eastAsia="Arial Unicode MS" w:hAnsi="Arial" w:cs="Times New Roman"/>
      <w:b/>
      <w:sz w:val="28"/>
      <w:szCs w:val="24"/>
    </w:rPr>
  </w:style>
  <w:style w:type="paragraph" w:styleId="En-tte">
    <w:name w:val="header"/>
    <w:basedOn w:val="Normal"/>
    <w:link w:val="En-tteCar"/>
    <w:uiPriority w:val="99"/>
    <w:unhideWhenUsed/>
    <w:rsid w:val="005E6A12"/>
    <w:pPr>
      <w:tabs>
        <w:tab w:val="center" w:pos="4536"/>
        <w:tab w:val="right" w:pos="9072"/>
      </w:tabs>
      <w:spacing w:after="0" w:line="240" w:lineRule="auto"/>
    </w:pPr>
  </w:style>
  <w:style w:type="character" w:customStyle="1" w:styleId="En-tteCar">
    <w:name w:val="En-tête Car"/>
    <w:basedOn w:val="Policepardfaut"/>
    <w:link w:val="En-tte"/>
    <w:uiPriority w:val="99"/>
    <w:rsid w:val="005E6A12"/>
  </w:style>
  <w:style w:type="paragraph" w:styleId="Pieddepage">
    <w:name w:val="footer"/>
    <w:basedOn w:val="Normal"/>
    <w:link w:val="PieddepageCar"/>
    <w:uiPriority w:val="99"/>
    <w:unhideWhenUsed/>
    <w:rsid w:val="005E6A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6A12"/>
  </w:style>
  <w:style w:type="table" w:styleId="Grilledutableau">
    <w:name w:val="Table Grid"/>
    <w:basedOn w:val="TableauNormal"/>
    <w:uiPriority w:val="59"/>
    <w:rsid w:val="000D718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7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519</Words>
  <Characters>2856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VATBLED</dc:creator>
  <cp:lastModifiedBy>Nathalie DOS SANTOS</cp:lastModifiedBy>
  <cp:revision>9</cp:revision>
  <dcterms:created xsi:type="dcterms:W3CDTF">2017-10-31T11:13:00Z</dcterms:created>
  <dcterms:modified xsi:type="dcterms:W3CDTF">2017-10-31T15:16:00Z</dcterms:modified>
</cp:coreProperties>
</file>