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7F" w:rsidRDefault="001C587F" w:rsidP="001C587F"/>
    <w:p w:rsidR="00BC039F" w:rsidRDefault="00BC039F" w:rsidP="006D3120">
      <w:pPr>
        <w:pStyle w:val="Modelelettretitre"/>
        <w:ind w:left="0"/>
        <w:jc w:val="center"/>
        <w:rPr>
          <w:rFonts w:cs="Arial"/>
          <w:color w:val="000080"/>
          <w:sz w:val="24"/>
        </w:rPr>
      </w:pPr>
      <w:r w:rsidRPr="006D3120">
        <w:rPr>
          <w:rFonts w:cs="Arial"/>
          <w:color w:val="000080"/>
          <w:sz w:val="24"/>
        </w:rPr>
        <w:t xml:space="preserve">CONTRACTUALISATION DU RECOURS A UN </w:t>
      </w:r>
      <w:r w:rsidR="000B757C">
        <w:rPr>
          <w:rFonts w:cs="Arial"/>
          <w:color w:val="000080"/>
          <w:sz w:val="24"/>
        </w:rPr>
        <w:t>COLLABORATEUR EXTERNE</w:t>
      </w:r>
    </w:p>
    <w:p w:rsidR="00286C10" w:rsidRPr="006D3120" w:rsidRDefault="00286C10" w:rsidP="006D3120">
      <w:pPr>
        <w:pStyle w:val="Modelelettretitre"/>
        <w:ind w:left="0"/>
        <w:jc w:val="center"/>
        <w:rPr>
          <w:rFonts w:cs="Arial"/>
          <w:color w:val="000080"/>
          <w:sz w:val="24"/>
        </w:rPr>
      </w:pPr>
      <w:r>
        <w:rPr>
          <w:rFonts w:cs="Arial"/>
          <w:color w:val="000080"/>
          <w:sz w:val="24"/>
        </w:rPr>
        <w:t>(</w:t>
      </w:r>
      <w:proofErr w:type="gramStart"/>
      <w:r>
        <w:rPr>
          <w:rFonts w:cs="Arial"/>
          <w:color w:val="000080"/>
          <w:sz w:val="24"/>
        </w:rPr>
        <w:t>exemple</w:t>
      </w:r>
      <w:proofErr w:type="gramEnd"/>
      <w:r>
        <w:rPr>
          <w:rFonts w:cs="Arial"/>
          <w:color w:val="000080"/>
          <w:sz w:val="24"/>
        </w:rPr>
        <w:t xml:space="preserve"> de sommaire non </w:t>
      </w:r>
      <w:r w:rsidR="009F238C">
        <w:rPr>
          <w:rFonts w:cs="Arial"/>
          <w:color w:val="000080"/>
          <w:sz w:val="24"/>
        </w:rPr>
        <w:t>exhaustif</w:t>
      </w:r>
      <w:r>
        <w:rPr>
          <w:rFonts w:cs="Arial"/>
          <w:color w:val="000080"/>
          <w:sz w:val="24"/>
        </w:rPr>
        <w:t>)</w:t>
      </w:r>
    </w:p>
    <w:p w:rsidR="001C587F" w:rsidRDefault="001C587F" w:rsidP="00BC039F">
      <w:pPr>
        <w:ind w:left="360"/>
      </w:pPr>
    </w:p>
    <w:p w:rsidR="006D3120" w:rsidRDefault="000B757C" w:rsidP="00BC039F">
      <w:pPr>
        <w:ind w:left="360"/>
      </w:pPr>
      <w:r>
        <w:t>Préambule :</w:t>
      </w:r>
    </w:p>
    <w:p w:rsidR="001435FF" w:rsidRDefault="001435FF" w:rsidP="001435FF">
      <w:pPr>
        <w:pStyle w:val="Paragraphedeliste"/>
        <w:numPr>
          <w:ilvl w:val="0"/>
          <w:numId w:val="4"/>
        </w:numPr>
      </w:pPr>
      <w:r>
        <w:t>Présenter l</w:t>
      </w:r>
      <w:r w:rsidR="000B757C">
        <w:t>es parties :</w:t>
      </w:r>
    </w:p>
    <w:p w:rsidR="001435FF" w:rsidRDefault="000B757C" w:rsidP="001435FF">
      <w:pPr>
        <w:pStyle w:val="Paragraphedeliste"/>
        <w:numPr>
          <w:ilvl w:val="0"/>
          <w:numId w:val="5"/>
        </w:numPr>
      </w:pPr>
      <w:r>
        <w:t xml:space="preserve">le CAC détenteur du mandat </w:t>
      </w:r>
    </w:p>
    <w:p w:rsidR="001435FF" w:rsidRDefault="000B757C" w:rsidP="00060B64">
      <w:pPr>
        <w:pStyle w:val="Paragraphedeliste"/>
        <w:ind w:left="1080"/>
      </w:pPr>
      <w:proofErr w:type="gramStart"/>
      <w:r>
        <w:t>et</w:t>
      </w:r>
      <w:proofErr w:type="gramEnd"/>
      <w:r>
        <w:t xml:space="preserve"> </w:t>
      </w:r>
    </w:p>
    <w:p w:rsidR="000B757C" w:rsidRDefault="000B757C" w:rsidP="001435FF">
      <w:pPr>
        <w:pStyle w:val="Paragraphedeliste"/>
        <w:numPr>
          <w:ilvl w:val="0"/>
          <w:numId w:val="5"/>
        </w:numPr>
      </w:pPr>
      <w:r>
        <w:t xml:space="preserve">un prestataire qui interviendra </w:t>
      </w:r>
      <w:r w:rsidR="001435FF">
        <w:t>dans le cadre de l’article 16 du Code de déontologie relatif au recours à des collaborateurs externes</w:t>
      </w:r>
    </w:p>
    <w:p w:rsidR="001435FF" w:rsidRPr="00060B64" w:rsidRDefault="001435FF" w:rsidP="00060B64">
      <w:pPr>
        <w:ind w:left="1080"/>
        <w:rPr>
          <w:i/>
        </w:rPr>
      </w:pPr>
      <w:r w:rsidRPr="00060B64">
        <w:rPr>
          <w:i/>
        </w:rPr>
        <w:t xml:space="preserve">Points d’attention : </w:t>
      </w:r>
    </w:p>
    <w:p w:rsidR="001435FF" w:rsidRPr="00060B64" w:rsidRDefault="001435FF" w:rsidP="00060B64">
      <w:pPr>
        <w:ind w:left="1080"/>
        <w:jc w:val="both"/>
        <w:rPr>
          <w:i/>
        </w:rPr>
      </w:pPr>
      <w:r w:rsidRPr="00060B64">
        <w:rPr>
          <w:i/>
        </w:rPr>
        <w:t>Le Haut Conseil est également d’avis lorsque le commissaire aux comptes recourt à un collaborateur «externe» quel qu’il soit, que la relation contractuelle soit formalisée entre les parties. Si ce professionnel est une personne morale ou une entité, la relation contractuelle est</w:t>
      </w:r>
      <w:r w:rsidR="009F238C">
        <w:rPr>
          <w:i/>
        </w:rPr>
        <w:t xml:space="preserve"> </w:t>
      </w:r>
      <w:r w:rsidRPr="00060B64">
        <w:rPr>
          <w:i/>
        </w:rPr>
        <w:t>formalisée entre le commissaire aux comptes détenteur du mandat et la personne ou entité et non avec le ou les salarié(s) de ladite personne ou entité.</w:t>
      </w:r>
    </w:p>
    <w:p w:rsidR="000B757C" w:rsidRPr="00060B64" w:rsidRDefault="000B757C" w:rsidP="00060B64">
      <w:pPr>
        <w:pStyle w:val="Default"/>
        <w:ind w:left="1080"/>
        <w:jc w:val="both"/>
        <w:rPr>
          <w:i/>
          <w:sz w:val="23"/>
          <w:szCs w:val="23"/>
        </w:rPr>
      </w:pPr>
      <w:r w:rsidRPr="00060B64">
        <w:rPr>
          <w:rFonts w:asciiTheme="minorHAnsi" w:eastAsiaTheme="minorEastAsia" w:hAnsiTheme="minorHAnsi" w:cstheme="minorBidi"/>
          <w:i/>
          <w:color w:val="auto"/>
          <w:sz w:val="20"/>
          <w:szCs w:val="20"/>
        </w:rPr>
        <w:t>Le Haut Conseil précise que le recours à des collaborateurs « externes » ne doit pas être un moyen de pallier une insuffisance de ressources internes conduisant le commissaire aux comptes à en faire systématiquement usage sur tout ou partie des mandats qu’il détient.</w:t>
      </w:r>
      <w:r w:rsidRPr="00060B64">
        <w:rPr>
          <w:i/>
          <w:sz w:val="23"/>
          <w:szCs w:val="23"/>
        </w:rPr>
        <w:t xml:space="preserve"> </w:t>
      </w:r>
    </w:p>
    <w:p w:rsidR="000B757C" w:rsidRDefault="000B757C" w:rsidP="00060B64">
      <w:pPr>
        <w:ind w:left="1080"/>
        <w:jc w:val="both"/>
      </w:pPr>
      <w:r w:rsidRPr="00060B64">
        <w:rPr>
          <w:i/>
        </w:rPr>
        <w:t>Haut Conseil est d’avis que le recours à des collaborateurs « externes » doit être limité et qu’il ne peut être envisagé que pour répondre à un besoin de ressources, lié à des situations particulières. Toutefois, Il estime que cette condition n’est pas applicable lorsque la structure d’exercice professionnel détentrice du mandat prévoit le recours à des collaborateurs des membres de son réseau ou à ceux de structures qui lui sont associées.</w:t>
      </w:r>
    </w:p>
    <w:p w:rsidR="000B757C" w:rsidRDefault="000B757C" w:rsidP="00BC039F">
      <w:pPr>
        <w:ind w:left="360"/>
      </w:pPr>
    </w:p>
    <w:p w:rsidR="00BC039F" w:rsidRDefault="006D3120" w:rsidP="00BC039F">
      <w:pPr>
        <w:ind w:left="360"/>
        <w:rPr>
          <w:rFonts w:ascii="Arial" w:hAnsi="Arial" w:cs="Arial"/>
        </w:rPr>
      </w:pPr>
      <w:r>
        <w:rPr>
          <w:rFonts w:ascii="Arial" w:hAnsi="Arial" w:cs="Arial"/>
        </w:rPr>
        <w:t xml:space="preserve">       </w:t>
      </w:r>
      <w:r w:rsidR="00BC039F" w:rsidRPr="006D3120">
        <w:rPr>
          <w:rFonts w:ascii="Arial" w:hAnsi="Arial" w:cs="Arial"/>
        </w:rPr>
        <w:t xml:space="preserve">Article 1 : Le(s) intervenant(s) du </w:t>
      </w:r>
      <w:r w:rsidR="000B757C">
        <w:rPr>
          <w:rFonts w:ascii="Arial" w:hAnsi="Arial" w:cs="Arial"/>
        </w:rPr>
        <w:t>prestataire</w:t>
      </w:r>
    </w:p>
    <w:p w:rsidR="001435FF" w:rsidRPr="00060B64" w:rsidRDefault="001435FF" w:rsidP="00060B64">
      <w:pPr>
        <w:ind w:left="1416"/>
        <w:rPr>
          <w:rFonts w:ascii="Arial" w:hAnsi="Arial" w:cs="Arial"/>
          <w:i/>
        </w:rPr>
      </w:pPr>
      <w:r w:rsidRPr="00060B64">
        <w:rPr>
          <w:rFonts w:ascii="Arial" w:hAnsi="Arial" w:cs="Arial"/>
          <w:i/>
        </w:rPr>
        <w:t>Point d’attention</w:t>
      </w:r>
      <w:r w:rsidR="00604E42" w:rsidRPr="00060B64">
        <w:rPr>
          <w:rFonts w:ascii="Arial" w:hAnsi="Arial" w:cs="Arial"/>
          <w:i/>
        </w:rPr>
        <w:t> :</w:t>
      </w:r>
    </w:p>
    <w:p w:rsidR="000B757C" w:rsidRPr="00060B64" w:rsidRDefault="001435FF" w:rsidP="00060B64">
      <w:pPr>
        <w:ind w:left="1416"/>
        <w:rPr>
          <w:rFonts w:ascii="Arial" w:hAnsi="Arial" w:cs="Arial"/>
          <w:i/>
        </w:rPr>
      </w:pPr>
      <w:r w:rsidRPr="00060B64">
        <w:rPr>
          <w:rFonts w:ascii="Arial" w:hAnsi="Arial" w:cs="Arial"/>
          <w:i/>
        </w:rPr>
        <w:t>Selon le H3C les personnes intervenant pour le prestataire</w:t>
      </w:r>
      <w:r w:rsidR="000B757C" w:rsidRPr="00060B64">
        <w:rPr>
          <w:rFonts w:ascii="Arial" w:hAnsi="Arial" w:cs="Arial"/>
          <w:i/>
        </w:rPr>
        <w:t xml:space="preserve"> peuvent être : </w:t>
      </w:r>
    </w:p>
    <w:p w:rsidR="000B757C" w:rsidRPr="00060B64" w:rsidRDefault="000B757C" w:rsidP="00060B64">
      <w:pPr>
        <w:pStyle w:val="Paragraphedeliste"/>
        <w:numPr>
          <w:ilvl w:val="1"/>
          <w:numId w:val="6"/>
        </w:numPr>
        <w:ind w:left="2856"/>
        <w:rPr>
          <w:rFonts w:ascii="Arial" w:hAnsi="Arial" w:cs="Arial"/>
          <w:i/>
        </w:rPr>
      </w:pPr>
      <w:r w:rsidRPr="00060B64">
        <w:rPr>
          <w:rFonts w:ascii="Arial" w:hAnsi="Arial" w:cs="Arial"/>
          <w:i/>
        </w:rPr>
        <w:t xml:space="preserve">des commissaires aux comptes personnes physiques ou des salariés ou associés </w:t>
      </w:r>
      <w:proofErr w:type="spellStart"/>
      <w:r w:rsidRPr="00060B64">
        <w:rPr>
          <w:rFonts w:ascii="Arial" w:hAnsi="Arial" w:cs="Arial"/>
          <w:i/>
        </w:rPr>
        <w:t>non salariés</w:t>
      </w:r>
      <w:proofErr w:type="spellEnd"/>
      <w:r w:rsidRPr="00060B64">
        <w:rPr>
          <w:rFonts w:ascii="Arial" w:hAnsi="Arial" w:cs="Arial"/>
          <w:i/>
        </w:rPr>
        <w:t xml:space="preserve"> de sociétés de commissaires aux comptes, </w:t>
      </w:r>
    </w:p>
    <w:p w:rsidR="000B757C" w:rsidRPr="00060B64" w:rsidRDefault="000B757C" w:rsidP="00060B64">
      <w:pPr>
        <w:pStyle w:val="Paragraphedeliste"/>
        <w:numPr>
          <w:ilvl w:val="1"/>
          <w:numId w:val="6"/>
        </w:numPr>
        <w:ind w:left="2856"/>
        <w:rPr>
          <w:rFonts w:ascii="Arial" w:hAnsi="Arial" w:cs="Arial"/>
          <w:i/>
        </w:rPr>
      </w:pPr>
      <w:r w:rsidRPr="00060B64">
        <w:rPr>
          <w:rFonts w:ascii="Arial" w:hAnsi="Arial" w:cs="Arial"/>
          <w:i/>
        </w:rPr>
        <w:t xml:space="preserve">des experts-comptables personnes physiques ou des salariés ou associés </w:t>
      </w:r>
      <w:proofErr w:type="spellStart"/>
      <w:r w:rsidRPr="00060B64">
        <w:rPr>
          <w:rFonts w:ascii="Arial" w:hAnsi="Arial" w:cs="Arial"/>
          <w:i/>
        </w:rPr>
        <w:t>non salariés</w:t>
      </w:r>
      <w:proofErr w:type="spellEnd"/>
      <w:r w:rsidRPr="00060B64">
        <w:rPr>
          <w:rFonts w:ascii="Arial" w:hAnsi="Arial" w:cs="Arial"/>
          <w:i/>
        </w:rPr>
        <w:t xml:space="preserve"> de sociétés d’expertise-comptable, </w:t>
      </w:r>
    </w:p>
    <w:p w:rsidR="000B757C" w:rsidRPr="00060B64" w:rsidRDefault="000B757C" w:rsidP="00060B64">
      <w:pPr>
        <w:pStyle w:val="Paragraphedeliste"/>
        <w:numPr>
          <w:ilvl w:val="1"/>
          <w:numId w:val="6"/>
        </w:numPr>
        <w:ind w:left="2856"/>
        <w:rPr>
          <w:rFonts w:ascii="Arial" w:hAnsi="Arial" w:cs="Arial"/>
          <w:i/>
        </w:rPr>
      </w:pPr>
      <w:r w:rsidRPr="00060B64">
        <w:rPr>
          <w:rFonts w:ascii="Arial" w:hAnsi="Arial" w:cs="Arial"/>
          <w:i/>
        </w:rPr>
        <w:t>des salariés d’entités constituées entre des commissaires aux comptes et/ou des experts-comptables et dont l’objet est la mise en commun de moyens (« groupements »).</w:t>
      </w:r>
    </w:p>
    <w:p w:rsidR="000B757C" w:rsidRPr="006D3120" w:rsidRDefault="00604E42" w:rsidP="00060B64">
      <w:pPr>
        <w:ind w:left="1416"/>
        <w:rPr>
          <w:rFonts w:ascii="Arial" w:hAnsi="Arial" w:cs="Arial"/>
        </w:rPr>
      </w:pPr>
      <w:r w:rsidRPr="00060B64">
        <w:rPr>
          <w:rFonts w:ascii="Arial" w:hAnsi="Arial" w:cs="Arial"/>
          <w:i/>
        </w:rPr>
        <w:t>Il s’agit d’un professionnel qui possède une qualification dans le domaine de la comptabilité et l’audit et qui peut réaliser des travaux d’audit pour le compte du commissaire aux comptes.</w:t>
      </w:r>
      <w:r w:rsidRPr="00060B64">
        <w:rPr>
          <w:i/>
          <w:sz w:val="23"/>
          <w:szCs w:val="23"/>
        </w:rPr>
        <w:t xml:space="preserve"> Le commissaire aux comptes doit s’assurer que </w:t>
      </w:r>
      <w:r w:rsidRPr="00060B64">
        <w:rPr>
          <w:i/>
          <w:iCs/>
          <w:sz w:val="23"/>
          <w:szCs w:val="23"/>
        </w:rPr>
        <w:t xml:space="preserve">« </w:t>
      </w:r>
      <w:r w:rsidRPr="00060B64">
        <w:rPr>
          <w:i/>
          <w:sz w:val="23"/>
          <w:szCs w:val="23"/>
        </w:rPr>
        <w:t xml:space="preserve">[les </w:t>
      </w:r>
      <w:r w:rsidRPr="00060B64">
        <w:rPr>
          <w:i/>
          <w:sz w:val="23"/>
          <w:szCs w:val="23"/>
        </w:rPr>
        <w:lastRenderedPageBreak/>
        <w:t xml:space="preserve">collaborateurs] </w:t>
      </w:r>
      <w:r w:rsidRPr="00060B64">
        <w:rPr>
          <w:i/>
          <w:iCs/>
          <w:sz w:val="23"/>
          <w:szCs w:val="23"/>
        </w:rPr>
        <w:t xml:space="preserve">disposent des compétences appropriées à la bonne exécution des tâches </w:t>
      </w:r>
      <w:r w:rsidRPr="00060B64">
        <w:rPr>
          <w:i/>
          <w:sz w:val="23"/>
          <w:szCs w:val="23"/>
        </w:rPr>
        <w:t xml:space="preserve">[que le commissaire aux comptes] </w:t>
      </w:r>
      <w:r w:rsidRPr="00060B64">
        <w:rPr>
          <w:i/>
          <w:iCs/>
          <w:sz w:val="23"/>
          <w:szCs w:val="23"/>
        </w:rPr>
        <w:t>leur confie et à ce qu'ils reçoivent et maintiennent un niveau de formation approprié ».</w:t>
      </w:r>
    </w:p>
    <w:p w:rsidR="00BC039F" w:rsidRDefault="00BC039F" w:rsidP="00BC039F">
      <w:pPr>
        <w:ind w:left="360" w:firstLine="383"/>
        <w:rPr>
          <w:rFonts w:ascii="Arial" w:hAnsi="Arial" w:cs="Arial"/>
        </w:rPr>
      </w:pPr>
      <w:r w:rsidRPr="006D3120">
        <w:rPr>
          <w:rFonts w:ascii="Arial" w:hAnsi="Arial" w:cs="Arial"/>
        </w:rPr>
        <w:t>Article 2 : Objet</w:t>
      </w:r>
      <w:r w:rsidR="001435FF">
        <w:rPr>
          <w:rFonts w:ascii="Arial" w:hAnsi="Arial" w:cs="Arial"/>
        </w:rPr>
        <w:t xml:space="preserve"> </w:t>
      </w:r>
      <w:r w:rsidR="001816F4">
        <w:rPr>
          <w:rFonts w:ascii="Arial" w:hAnsi="Arial" w:cs="Arial"/>
        </w:rPr>
        <w:t>(Insister en particulier sur l’absence de lien de subordination)</w:t>
      </w:r>
    </w:p>
    <w:p w:rsidR="001435FF" w:rsidRPr="00060B64" w:rsidRDefault="001435FF" w:rsidP="00060B64">
      <w:pPr>
        <w:ind w:left="1103"/>
        <w:rPr>
          <w:rFonts w:ascii="Arial" w:hAnsi="Arial" w:cs="Arial"/>
          <w:i/>
        </w:rPr>
      </w:pPr>
      <w:r w:rsidRPr="00060B64">
        <w:rPr>
          <w:rFonts w:ascii="Arial" w:hAnsi="Arial" w:cs="Arial"/>
          <w:i/>
        </w:rPr>
        <w:t>Point d’attention</w:t>
      </w:r>
    </w:p>
    <w:p w:rsidR="001435FF" w:rsidRPr="006D3120" w:rsidRDefault="001435FF" w:rsidP="00060B64">
      <w:pPr>
        <w:ind w:left="1103"/>
        <w:rPr>
          <w:rFonts w:ascii="Arial" w:hAnsi="Arial" w:cs="Arial"/>
        </w:rPr>
      </w:pPr>
      <w:r w:rsidRPr="00060B64">
        <w:rPr>
          <w:rFonts w:ascii="Arial" w:hAnsi="Arial" w:cs="Arial"/>
          <w:i/>
        </w:rPr>
        <w:t>Ce contrat doit prévoir, notamment, l’étendue des travaux confiés au professionnel et les conditions de réalisation de ces derniers. Le Haut Conseil précise que le commissaire aux comptes ne peut pas lui déléguer la totalité de ses travaux. A ce titre, il ne peut pas lui déléguer l’ensemble des diligences requises au titre de la prise de connaissance de l’entité et de son environnement, de l’évaluation du risque d’anomalies significatives au niveau des comptes pris dans leur ensemble, de la détermination du ou des seuils de signification, de la définition de l’approche d’audit ou encore de l’établissement de la lettre de mission et du programme de travail.</w:t>
      </w:r>
    </w:p>
    <w:p w:rsidR="00BC039F" w:rsidRDefault="00BC039F" w:rsidP="00BC039F">
      <w:pPr>
        <w:ind w:left="360" w:firstLine="383"/>
        <w:rPr>
          <w:rFonts w:ascii="Arial" w:hAnsi="Arial" w:cs="Arial"/>
        </w:rPr>
      </w:pPr>
      <w:r w:rsidRPr="006D3120">
        <w:rPr>
          <w:rFonts w:ascii="Arial" w:hAnsi="Arial" w:cs="Arial"/>
        </w:rPr>
        <w:t xml:space="preserve">Article </w:t>
      </w:r>
      <w:r w:rsidR="00060B64">
        <w:rPr>
          <w:rFonts w:ascii="Arial" w:hAnsi="Arial" w:cs="Arial"/>
        </w:rPr>
        <w:t>3</w:t>
      </w:r>
      <w:r w:rsidR="00060B64" w:rsidRPr="006D3120">
        <w:rPr>
          <w:rFonts w:ascii="Arial" w:hAnsi="Arial" w:cs="Arial"/>
        </w:rPr>
        <w:t> </w:t>
      </w:r>
      <w:r w:rsidRPr="006D3120">
        <w:rPr>
          <w:rFonts w:ascii="Arial" w:hAnsi="Arial" w:cs="Arial"/>
        </w:rPr>
        <w:t>: Obligations du commissaire aux comptes</w:t>
      </w:r>
      <w:r w:rsidR="000B757C">
        <w:rPr>
          <w:rFonts w:ascii="Arial" w:hAnsi="Arial" w:cs="Arial"/>
        </w:rPr>
        <w:t xml:space="preserve"> détenteur du mandat</w:t>
      </w:r>
    </w:p>
    <w:p w:rsidR="001435FF" w:rsidRPr="00060B64" w:rsidRDefault="001435FF" w:rsidP="00060B64">
      <w:pPr>
        <w:ind w:left="1416"/>
        <w:rPr>
          <w:rFonts w:ascii="Arial" w:hAnsi="Arial" w:cs="Arial"/>
          <w:i/>
        </w:rPr>
      </w:pPr>
      <w:r w:rsidRPr="00060B64">
        <w:rPr>
          <w:rFonts w:ascii="Arial" w:hAnsi="Arial" w:cs="Arial"/>
          <w:i/>
        </w:rPr>
        <w:t>Points d’attention :</w:t>
      </w:r>
    </w:p>
    <w:p w:rsidR="001435FF" w:rsidRPr="00060B64" w:rsidRDefault="001435FF" w:rsidP="00060B64">
      <w:pPr>
        <w:ind w:left="1416"/>
        <w:rPr>
          <w:rFonts w:ascii="Arial" w:hAnsi="Arial" w:cs="Arial"/>
          <w:i/>
        </w:rPr>
      </w:pPr>
      <w:r w:rsidRPr="00060B64">
        <w:rPr>
          <w:rFonts w:ascii="Arial" w:hAnsi="Arial" w:cs="Arial"/>
          <w:i/>
        </w:rPr>
        <w:t>Le H3C estime que :</w:t>
      </w:r>
    </w:p>
    <w:p w:rsidR="000B757C" w:rsidRPr="00060B64" w:rsidRDefault="000B757C" w:rsidP="00060B64">
      <w:pPr>
        <w:pStyle w:val="Paragraphedeliste"/>
        <w:numPr>
          <w:ilvl w:val="0"/>
          <w:numId w:val="7"/>
        </w:numPr>
        <w:ind w:left="1776"/>
        <w:rPr>
          <w:rFonts w:ascii="Arial" w:hAnsi="Arial" w:cs="Arial"/>
          <w:i/>
        </w:rPr>
      </w:pPr>
      <w:r w:rsidRPr="00060B64">
        <w:rPr>
          <w:rFonts w:ascii="Arial" w:hAnsi="Arial" w:cs="Arial"/>
          <w:i/>
        </w:rPr>
        <w:t>le commissaire aux comptes qui recourt à des collaborateurs « conserve toujours l’entière responsabilité de sa mission » et « ne peut [leur] déléguer ses pouvoirs ».</w:t>
      </w:r>
    </w:p>
    <w:p w:rsidR="000B757C" w:rsidRPr="001435FF" w:rsidRDefault="000B757C" w:rsidP="00060B64">
      <w:pPr>
        <w:pStyle w:val="Paragraphedeliste"/>
        <w:numPr>
          <w:ilvl w:val="0"/>
          <w:numId w:val="7"/>
        </w:numPr>
        <w:ind w:left="1776"/>
        <w:rPr>
          <w:rFonts w:ascii="Arial" w:hAnsi="Arial" w:cs="Arial"/>
        </w:rPr>
      </w:pPr>
      <w:r w:rsidRPr="00060B64">
        <w:rPr>
          <w:rFonts w:ascii="Arial" w:hAnsi="Arial" w:cs="Arial"/>
          <w:i/>
        </w:rPr>
        <w:t xml:space="preserve">En cas de recours à des experts-comptables, des salariés ou des associés </w:t>
      </w:r>
      <w:proofErr w:type="spellStart"/>
      <w:r w:rsidRPr="00060B64">
        <w:rPr>
          <w:rFonts w:ascii="Arial" w:hAnsi="Arial" w:cs="Arial"/>
          <w:i/>
        </w:rPr>
        <w:t>non salariés</w:t>
      </w:r>
      <w:proofErr w:type="spellEnd"/>
      <w:r w:rsidRPr="00060B64">
        <w:rPr>
          <w:rFonts w:ascii="Arial" w:hAnsi="Arial" w:cs="Arial"/>
          <w:i/>
        </w:rPr>
        <w:t xml:space="preserve"> d’une société d’expertise-comptable ou des salariés d’un « groupement », il appartiendra au commissaire aux comptes détenteur du mandat de veiller à ce que ces collaborateurs « externes » accomplissent leurs travaux dans le respect des règles applicables à la profession de commissaire aux comptes, notamment du code de déontologie.</w:t>
      </w:r>
    </w:p>
    <w:p w:rsidR="00BC039F" w:rsidRPr="006D3120" w:rsidRDefault="00BC039F" w:rsidP="00E33810">
      <w:pPr>
        <w:ind w:left="1701" w:hanging="958"/>
        <w:rPr>
          <w:rFonts w:ascii="Arial" w:hAnsi="Arial" w:cs="Arial"/>
        </w:rPr>
      </w:pPr>
      <w:r w:rsidRPr="006D3120">
        <w:rPr>
          <w:rFonts w:ascii="Arial" w:hAnsi="Arial" w:cs="Arial"/>
        </w:rPr>
        <w:t xml:space="preserve">Article </w:t>
      </w:r>
      <w:r w:rsidR="00060B64">
        <w:rPr>
          <w:rFonts w:ascii="Arial" w:hAnsi="Arial" w:cs="Arial"/>
        </w:rPr>
        <w:t>4</w:t>
      </w:r>
      <w:r w:rsidR="00060B64" w:rsidRPr="006D3120">
        <w:rPr>
          <w:rFonts w:ascii="Arial" w:hAnsi="Arial" w:cs="Arial"/>
        </w:rPr>
        <w:t> </w:t>
      </w:r>
      <w:r w:rsidRPr="006D3120">
        <w:rPr>
          <w:rFonts w:ascii="Arial" w:hAnsi="Arial" w:cs="Arial"/>
        </w:rPr>
        <w:t xml:space="preserve">: Obligations du </w:t>
      </w:r>
      <w:r w:rsidR="00195FB3">
        <w:rPr>
          <w:rFonts w:ascii="Arial" w:hAnsi="Arial" w:cs="Arial"/>
        </w:rPr>
        <w:t>prestataire</w:t>
      </w:r>
      <w:r w:rsidR="00060B64">
        <w:rPr>
          <w:rFonts w:ascii="Arial" w:hAnsi="Arial" w:cs="Arial"/>
        </w:rPr>
        <w:t xml:space="preserve"> (dont formalisation des travaux et documentation, secret professionnel, </w:t>
      </w:r>
      <w:r w:rsidR="00196956">
        <w:rPr>
          <w:rFonts w:ascii="Arial" w:hAnsi="Arial" w:cs="Arial"/>
        </w:rPr>
        <w:t xml:space="preserve">protection </w:t>
      </w:r>
      <w:bookmarkStart w:id="0" w:name="_GoBack"/>
      <w:bookmarkEnd w:id="0"/>
      <w:r w:rsidR="00196956">
        <w:rPr>
          <w:rFonts w:ascii="Arial" w:hAnsi="Arial" w:cs="Arial"/>
        </w:rPr>
        <w:t xml:space="preserve">des données, </w:t>
      </w:r>
      <w:r w:rsidR="00060B64">
        <w:rPr>
          <w:rFonts w:ascii="Arial" w:hAnsi="Arial" w:cs="Arial"/>
        </w:rPr>
        <w:t>assurance qualité, …)</w:t>
      </w:r>
    </w:p>
    <w:p w:rsidR="00BC039F" w:rsidRPr="006D3120" w:rsidRDefault="00BC039F" w:rsidP="00BC039F">
      <w:pPr>
        <w:ind w:left="360" w:firstLine="383"/>
        <w:rPr>
          <w:rFonts w:ascii="Arial" w:hAnsi="Arial" w:cs="Arial"/>
        </w:rPr>
      </w:pPr>
      <w:r w:rsidRPr="006D3120">
        <w:rPr>
          <w:rFonts w:ascii="Arial" w:hAnsi="Arial" w:cs="Arial"/>
        </w:rPr>
        <w:t xml:space="preserve">Article </w:t>
      </w:r>
      <w:r w:rsidR="00060B64">
        <w:rPr>
          <w:rFonts w:ascii="Arial" w:hAnsi="Arial" w:cs="Arial"/>
        </w:rPr>
        <w:t>5</w:t>
      </w:r>
      <w:r w:rsidR="00060B64" w:rsidRPr="006D3120">
        <w:rPr>
          <w:rFonts w:ascii="Arial" w:hAnsi="Arial" w:cs="Arial"/>
        </w:rPr>
        <w:t> </w:t>
      </w:r>
      <w:r w:rsidRPr="006D3120">
        <w:rPr>
          <w:rFonts w:ascii="Arial" w:hAnsi="Arial" w:cs="Arial"/>
        </w:rPr>
        <w:t>: Indépendance</w:t>
      </w:r>
    </w:p>
    <w:p w:rsidR="00BC039F" w:rsidRPr="006D3120" w:rsidRDefault="00BC039F" w:rsidP="00BC039F">
      <w:pPr>
        <w:ind w:left="360" w:firstLine="383"/>
        <w:rPr>
          <w:rFonts w:ascii="Arial" w:hAnsi="Arial" w:cs="Arial"/>
        </w:rPr>
      </w:pPr>
      <w:r w:rsidRPr="006D3120">
        <w:rPr>
          <w:rFonts w:ascii="Arial" w:hAnsi="Arial" w:cs="Arial"/>
        </w:rPr>
        <w:t xml:space="preserve">Article </w:t>
      </w:r>
      <w:r w:rsidR="00060B64">
        <w:rPr>
          <w:rFonts w:ascii="Arial" w:hAnsi="Arial" w:cs="Arial"/>
        </w:rPr>
        <w:t>6</w:t>
      </w:r>
      <w:r w:rsidR="00060B64" w:rsidRPr="006D3120">
        <w:rPr>
          <w:rFonts w:ascii="Arial" w:hAnsi="Arial" w:cs="Arial"/>
        </w:rPr>
        <w:t> </w:t>
      </w:r>
      <w:r w:rsidRPr="006D3120">
        <w:rPr>
          <w:rFonts w:ascii="Arial" w:hAnsi="Arial" w:cs="Arial"/>
        </w:rPr>
        <w:t>: Assurance et responsabilité</w:t>
      </w:r>
    </w:p>
    <w:p w:rsidR="00BC039F" w:rsidRPr="006D3120" w:rsidRDefault="00BC039F" w:rsidP="00BC039F">
      <w:pPr>
        <w:ind w:left="360" w:firstLine="383"/>
        <w:rPr>
          <w:rFonts w:ascii="Arial" w:hAnsi="Arial" w:cs="Arial"/>
        </w:rPr>
      </w:pPr>
      <w:r w:rsidRPr="006D3120">
        <w:rPr>
          <w:rFonts w:ascii="Arial" w:hAnsi="Arial" w:cs="Arial"/>
        </w:rPr>
        <w:t xml:space="preserve">Article </w:t>
      </w:r>
      <w:r w:rsidR="00060B64">
        <w:rPr>
          <w:rFonts w:ascii="Arial" w:hAnsi="Arial" w:cs="Arial"/>
        </w:rPr>
        <w:t>7</w:t>
      </w:r>
      <w:r w:rsidR="00060B64" w:rsidRPr="006D3120">
        <w:rPr>
          <w:rFonts w:ascii="Arial" w:hAnsi="Arial" w:cs="Arial"/>
        </w:rPr>
        <w:t> </w:t>
      </w:r>
      <w:r w:rsidRPr="006D3120">
        <w:rPr>
          <w:rFonts w:ascii="Arial" w:hAnsi="Arial" w:cs="Arial"/>
        </w:rPr>
        <w:t>: Modalités financières</w:t>
      </w:r>
      <w:r w:rsidR="00286C10">
        <w:rPr>
          <w:rFonts w:ascii="Arial" w:hAnsi="Arial" w:cs="Arial"/>
        </w:rPr>
        <w:t xml:space="preserve"> (honoraires, conditions de paiement, frais, pénalités…)</w:t>
      </w:r>
    </w:p>
    <w:p w:rsidR="00060B64" w:rsidRDefault="00060B64" w:rsidP="00BC039F">
      <w:pPr>
        <w:ind w:left="360" w:firstLine="383"/>
        <w:rPr>
          <w:rFonts w:ascii="Arial" w:hAnsi="Arial" w:cs="Arial"/>
        </w:rPr>
      </w:pPr>
      <w:r w:rsidRPr="00060B64">
        <w:rPr>
          <w:rFonts w:ascii="Arial" w:hAnsi="Arial" w:cs="Arial"/>
        </w:rPr>
        <w:t xml:space="preserve">Article </w:t>
      </w:r>
      <w:r>
        <w:rPr>
          <w:rFonts w:ascii="Arial" w:hAnsi="Arial" w:cs="Arial"/>
        </w:rPr>
        <w:t>8</w:t>
      </w:r>
      <w:r w:rsidRPr="00060B64">
        <w:rPr>
          <w:rFonts w:ascii="Arial" w:hAnsi="Arial" w:cs="Arial"/>
        </w:rPr>
        <w:t xml:space="preserve"> : Durée du contrat et mise en œuvre des prestations (dont calendrier, délais …)</w:t>
      </w:r>
    </w:p>
    <w:p w:rsidR="00BC039F" w:rsidRPr="006D3120" w:rsidRDefault="00BC039F" w:rsidP="00BC039F">
      <w:pPr>
        <w:ind w:left="360" w:firstLine="383"/>
        <w:rPr>
          <w:rFonts w:ascii="Arial" w:hAnsi="Arial" w:cs="Arial"/>
        </w:rPr>
      </w:pPr>
      <w:r w:rsidRPr="006D3120">
        <w:rPr>
          <w:rFonts w:ascii="Arial" w:hAnsi="Arial" w:cs="Arial"/>
        </w:rPr>
        <w:t xml:space="preserve">Article 9 : </w:t>
      </w:r>
      <w:r w:rsidR="00286C10">
        <w:rPr>
          <w:rFonts w:ascii="Arial" w:hAnsi="Arial" w:cs="Arial"/>
        </w:rPr>
        <w:t xml:space="preserve">Modifications et </w:t>
      </w:r>
      <w:r w:rsidRPr="006D3120">
        <w:rPr>
          <w:rFonts w:ascii="Arial" w:hAnsi="Arial" w:cs="Arial"/>
        </w:rPr>
        <w:t>Rupture du contrat</w:t>
      </w:r>
    </w:p>
    <w:p w:rsidR="00BC039F" w:rsidRPr="006D3120" w:rsidRDefault="00BC039F" w:rsidP="00BC039F">
      <w:pPr>
        <w:ind w:left="360" w:firstLine="383"/>
        <w:rPr>
          <w:rFonts w:ascii="Arial" w:hAnsi="Arial" w:cs="Arial"/>
        </w:rPr>
      </w:pPr>
      <w:r w:rsidRPr="006D3120">
        <w:rPr>
          <w:rFonts w:ascii="Arial" w:hAnsi="Arial" w:cs="Arial"/>
        </w:rPr>
        <w:t>Article 10 : Arbitrage</w:t>
      </w:r>
    </w:p>
    <w:p w:rsidR="00B1342A" w:rsidRPr="00060B64" w:rsidRDefault="00BC039F" w:rsidP="00060B64">
      <w:pPr>
        <w:ind w:left="360" w:firstLine="383"/>
        <w:rPr>
          <w:rFonts w:ascii="Arial" w:hAnsi="Arial" w:cs="Arial"/>
        </w:rPr>
      </w:pPr>
      <w:r w:rsidRPr="006D3120">
        <w:rPr>
          <w:rFonts w:ascii="Arial" w:hAnsi="Arial" w:cs="Arial"/>
        </w:rPr>
        <w:t>Article 11 : Droit applicable – Litiges</w:t>
      </w:r>
      <w:r w:rsidR="00060B64">
        <w:rPr>
          <w:rFonts w:ascii="Arial" w:hAnsi="Arial" w:cs="Arial"/>
        </w:rPr>
        <w:t>(…)</w:t>
      </w:r>
    </w:p>
    <w:sectPr w:rsidR="00B1342A" w:rsidRPr="00060B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17" w:rsidRDefault="00427317" w:rsidP="006D3120">
      <w:pPr>
        <w:spacing w:before="0" w:after="0" w:line="240" w:lineRule="auto"/>
      </w:pPr>
      <w:r>
        <w:separator/>
      </w:r>
    </w:p>
  </w:endnote>
  <w:endnote w:type="continuationSeparator" w:id="0">
    <w:p w:rsidR="00427317" w:rsidRDefault="00427317" w:rsidP="006D31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4E79" w:themeColor="accent1" w:themeShade="80"/>
        <w:sz w:val="14"/>
      </w:rPr>
      <w:id w:val="-856191143"/>
      <w:docPartObj>
        <w:docPartGallery w:val="Page Numbers (Bottom of Page)"/>
        <w:docPartUnique/>
      </w:docPartObj>
    </w:sdtPr>
    <w:sdtEndPr/>
    <w:sdtContent>
      <w:sdt>
        <w:sdtPr>
          <w:rPr>
            <w:rFonts w:ascii="Arial" w:hAnsi="Arial" w:cs="Arial"/>
            <w:color w:val="1F4E79" w:themeColor="accent1" w:themeShade="80"/>
            <w:sz w:val="14"/>
          </w:rPr>
          <w:id w:val="860082579"/>
          <w:docPartObj>
            <w:docPartGallery w:val="Page Numbers (Top of Page)"/>
            <w:docPartUnique/>
          </w:docPartObj>
        </w:sdtPr>
        <w:sdtEndPr/>
        <w:sdtContent>
          <w:p w:rsidR="006D3120" w:rsidRPr="00902A2B" w:rsidRDefault="006D3120" w:rsidP="006D3120">
            <w:pPr>
              <w:pStyle w:val="Pieddepage"/>
              <w:jc w:val="center"/>
              <w:rPr>
                <w:rFonts w:ascii="Arial" w:hAnsi="Arial" w:cs="Arial"/>
                <w:color w:val="1F4E79" w:themeColor="accent1" w:themeShade="80"/>
                <w:sz w:val="14"/>
                <w:szCs w:val="14"/>
              </w:rPr>
            </w:pPr>
            <w:r w:rsidRPr="00902A2B">
              <w:rPr>
                <w:rFonts w:ascii="Arial" w:hAnsi="Arial" w:cs="Arial"/>
                <w:color w:val="1F4E79" w:themeColor="accent1" w:themeShade="80"/>
                <w:sz w:val="14"/>
              </w:rPr>
              <w:t>CNCC / Commission Pôle PE / GT Organisation du cabinet / nov.2017</w:t>
            </w:r>
            <w:r>
              <w:rPr>
                <w:rFonts w:ascii="Arial" w:hAnsi="Arial" w:cs="Arial"/>
                <w:color w:val="1F4E79" w:themeColor="accent1" w:themeShade="80"/>
                <w:sz w:val="14"/>
              </w:rPr>
              <w:t xml:space="preserve">         -       </w:t>
            </w:r>
            <w:r w:rsidRPr="00902A2B">
              <w:rPr>
                <w:rFonts w:ascii="Arial" w:hAnsi="Arial" w:cs="Arial"/>
                <w:color w:val="1F4E79" w:themeColor="accent1" w:themeShade="80"/>
                <w:sz w:val="14"/>
                <w:szCs w:val="14"/>
              </w:rPr>
              <w:t>Tous droits réservés – CNCC 2017</w:t>
            </w:r>
            <w:r>
              <w:rPr>
                <w:rFonts w:ascii="Arial" w:hAnsi="Arial" w:cs="Arial"/>
                <w:color w:val="1F4E79" w:themeColor="accent1" w:themeShade="80"/>
                <w:sz w:val="14"/>
                <w:szCs w:val="14"/>
              </w:rPr>
              <w:t xml:space="preserve">            -</w:t>
            </w:r>
            <w:r w:rsidRPr="00902A2B">
              <w:rPr>
                <w:rFonts w:ascii="Arial" w:hAnsi="Arial" w:cs="Arial"/>
                <w:color w:val="1F4E79" w:themeColor="accent1" w:themeShade="80"/>
                <w:sz w:val="14"/>
              </w:rPr>
              <w:tab/>
              <w:t xml:space="preserve">Page </w:t>
            </w:r>
            <w:r w:rsidRPr="00902A2B">
              <w:rPr>
                <w:rFonts w:ascii="Arial" w:hAnsi="Arial" w:cs="Arial"/>
                <w:b/>
                <w:bCs/>
                <w:color w:val="1F4E79" w:themeColor="accent1" w:themeShade="80"/>
                <w:sz w:val="14"/>
              </w:rPr>
              <w:fldChar w:fldCharType="begin"/>
            </w:r>
            <w:r w:rsidRPr="00902A2B">
              <w:rPr>
                <w:rFonts w:ascii="Arial" w:hAnsi="Arial" w:cs="Arial"/>
                <w:b/>
                <w:bCs/>
                <w:color w:val="1F4E79" w:themeColor="accent1" w:themeShade="80"/>
                <w:sz w:val="14"/>
              </w:rPr>
              <w:instrText>PAGE</w:instrText>
            </w:r>
            <w:r w:rsidRPr="00902A2B">
              <w:rPr>
                <w:rFonts w:ascii="Arial" w:hAnsi="Arial" w:cs="Arial"/>
                <w:b/>
                <w:bCs/>
                <w:color w:val="1F4E79" w:themeColor="accent1" w:themeShade="80"/>
                <w:sz w:val="14"/>
              </w:rPr>
              <w:fldChar w:fldCharType="separate"/>
            </w:r>
            <w:r w:rsidR="00E33810">
              <w:rPr>
                <w:rFonts w:ascii="Arial" w:hAnsi="Arial" w:cs="Arial"/>
                <w:b/>
                <w:bCs/>
                <w:noProof/>
                <w:color w:val="1F4E79" w:themeColor="accent1" w:themeShade="80"/>
                <w:sz w:val="14"/>
              </w:rPr>
              <w:t>2</w:t>
            </w:r>
            <w:r w:rsidRPr="00902A2B">
              <w:rPr>
                <w:rFonts w:ascii="Arial" w:hAnsi="Arial" w:cs="Arial"/>
                <w:b/>
                <w:bCs/>
                <w:color w:val="1F4E79" w:themeColor="accent1" w:themeShade="80"/>
                <w:sz w:val="14"/>
              </w:rPr>
              <w:fldChar w:fldCharType="end"/>
            </w:r>
            <w:r w:rsidRPr="00902A2B">
              <w:rPr>
                <w:rFonts w:ascii="Arial" w:hAnsi="Arial" w:cs="Arial"/>
                <w:color w:val="1F4E79" w:themeColor="accent1" w:themeShade="80"/>
                <w:sz w:val="14"/>
              </w:rPr>
              <w:t xml:space="preserve"> sur </w:t>
            </w:r>
            <w:r w:rsidRPr="00902A2B">
              <w:rPr>
                <w:rFonts w:ascii="Arial" w:hAnsi="Arial" w:cs="Arial"/>
                <w:b/>
                <w:bCs/>
                <w:color w:val="1F4E79" w:themeColor="accent1" w:themeShade="80"/>
                <w:sz w:val="14"/>
              </w:rPr>
              <w:fldChar w:fldCharType="begin"/>
            </w:r>
            <w:r w:rsidRPr="00902A2B">
              <w:rPr>
                <w:rFonts w:ascii="Arial" w:hAnsi="Arial" w:cs="Arial"/>
                <w:b/>
                <w:bCs/>
                <w:color w:val="1F4E79" w:themeColor="accent1" w:themeShade="80"/>
                <w:sz w:val="14"/>
              </w:rPr>
              <w:instrText>NUMPAGES</w:instrText>
            </w:r>
            <w:r w:rsidRPr="00902A2B">
              <w:rPr>
                <w:rFonts w:ascii="Arial" w:hAnsi="Arial" w:cs="Arial"/>
                <w:b/>
                <w:bCs/>
                <w:color w:val="1F4E79" w:themeColor="accent1" w:themeShade="80"/>
                <w:sz w:val="14"/>
              </w:rPr>
              <w:fldChar w:fldCharType="separate"/>
            </w:r>
            <w:r w:rsidR="00E33810">
              <w:rPr>
                <w:rFonts w:ascii="Arial" w:hAnsi="Arial" w:cs="Arial"/>
                <w:b/>
                <w:bCs/>
                <w:noProof/>
                <w:color w:val="1F4E79" w:themeColor="accent1" w:themeShade="80"/>
                <w:sz w:val="14"/>
              </w:rPr>
              <w:t>2</w:t>
            </w:r>
            <w:r w:rsidRPr="00902A2B">
              <w:rPr>
                <w:rFonts w:ascii="Arial" w:hAnsi="Arial" w:cs="Arial"/>
                <w:b/>
                <w:bCs/>
                <w:color w:val="1F4E79" w:themeColor="accent1" w:themeShade="80"/>
                <w:sz w:val="14"/>
              </w:rPr>
              <w:fldChar w:fldCharType="end"/>
            </w:r>
          </w:p>
        </w:sdtContent>
      </w:sdt>
    </w:sdtContent>
  </w:sdt>
  <w:p w:rsidR="006D3120" w:rsidRDefault="006D31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17" w:rsidRDefault="00427317" w:rsidP="006D3120">
      <w:pPr>
        <w:spacing w:before="0" w:after="0" w:line="240" w:lineRule="auto"/>
      </w:pPr>
      <w:r>
        <w:separator/>
      </w:r>
    </w:p>
  </w:footnote>
  <w:footnote w:type="continuationSeparator" w:id="0">
    <w:p w:rsidR="00427317" w:rsidRDefault="00427317" w:rsidP="006D312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20" w:rsidRPr="009C1001" w:rsidRDefault="006D3120" w:rsidP="006D3120">
    <w:pPr>
      <w:pStyle w:val="En-tte"/>
      <w:pBdr>
        <w:top w:val="double" w:sz="4" w:space="1" w:color="auto"/>
        <w:left w:val="double" w:sz="4" w:space="4" w:color="auto"/>
        <w:bottom w:val="double" w:sz="4" w:space="1" w:color="auto"/>
        <w:right w:val="double" w:sz="4" w:space="4" w:color="auto"/>
      </w:pBdr>
      <w:tabs>
        <w:tab w:val="clear" w:pos="4536"/>
        <w:tab w:val="clear" w:pos="9072"/>
        <w:tab w:val="left" w:pos="1276"/>
        <w:tab w:val="left" w:pos="7088"/>
      </w:tabs>
      <w:rPr>
        <w:rFonts w:ascii="Arial" w:hAnsi="Arial" w:cs="Arial"/>
      </w:rPr>
    </w:pPr>
    <w:r w:rsidRPr="009C1001">
      <w:rPr>
        <w:rFonts w:ascii="Arial" w:hAnsi="Arial" w:cs="Arial"/>
        <w:noProof/>
        <w:lang w:eastAsia="fr-FR"/>
      </w:rPr>
      <mc:AlternateContent>
        <mc:Choice Requires="wps">
          <w:drawing>
            <wp:anchor distT="0" distB="0" distL="114300" distR="114300" simplePos="0" relativeHeight="251659264" behindDoc="0" locked="0" layoutInCell="1" allowOverlap="1" wp14:anchorId="6C2B1706" wp14:editId="4C1F310C">
              <wp:simplePos x="0" y="0"/>
              <wp:positionH relativeFrom="column">
                <wp:posOffset>14605</wp:posOffset>
              </wp:positionH>
              <wp:positionV relativeFrom="paragraph">
                <wp:posOffset>66040</wp:posOffset>
              </wp:positionV>
              <wp:extent cx="701040" cy="525780"/>
              <wp:effectExtent l="0" t="0" r="22860"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25780"/>
                      </a:xfrm>
                      <a:prstGeom prst="rect">
                        <a:avLst/>
                      </a:prstGeom>
                      <a:solidFill>
                        <a:srgbClr val="FFFFFF"/>
                      </a:solidFill>
                      <a:ln w="9525">
                        <a:solidFill>
                          <a:srgbClr val="000000"/>
                        </a:solidFill>
                        <a:miter lim="800000"/>
                        <a:headEnd/>
                        <a:tailEnd/>
                      </a:ln>
                    </wps:spPr>
                    <wps:txbx>
                      <w:txbxContent>
                        <w:p w:rsidR="006D3120" w:rsidRPr="0096109E" w:rsidRDefault="006D3120" w:rsidP="006D3120">
                          <w:pPr>
                            <w:rPr>
                              <w:rFonts w:ascii="Arial" w:hAnsi="Arial" w:cs="Arial"/>
                              <w:i/>
                            </w:rPr>
                          </w:pPr>
                          <w:r w:rsidRPr="0096109E">
                            <w:rPr>
                              <w:rFonts w:ascii="Arial" w:hAnsi="Arial" w:cs="Arial"/>
                              <w:i/>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5pt;margin-top:5.2pt;width:55.2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">
              <v:textbox>
                <w:txbxContent>
                  <w:p w:rsidR="006D3120" w:rsidRPr="0096109E" w:rsidRDefault="006D3120" w:rsidP="006D3120">
                    <w:pPr>
                      <w:rPr>
                        <w:rFonts w:ascii="Arial" w:hAnsi="Arial" w:cs="Arial"/>
                        <w:i/>
                      </w:rPr>
                    </w:pPr>
                    <w:r w:rsidRPr="0096109E">
                      <w:rPr>
                        <w:rFonts w:ascii="Arial" w:hAnsi="Arial" w:cs="Arial"/>
                        <w:i/>
                      </w:rPr>
                      <w:t>Logo</w:t>
                    </w:r>
                  </w:p>
                </w:txbxContent>
              </v:textbox>
            </v:shape>
          </w:pict>
        </mc:Fallback>
      </mc:AlternateContent>
    </w:r>
    <w:r w:rsidRPr="009C1001">
      <w:rPr>
        <w:rFonts w:ascii="Arial" w:hAnsi="Arial" w:cs="Arial"/>
      </w:rPr>
      <w:tab/>
      <w:t>Cabinet :</w:t>
    </w:r>
    <w:r w:rsidRPr="009C1001">
      <w:rPr>
        <w:rFonts w:ascii="Arial" w:hAnsi="Arial" w:cs="Arial"/>
      </w:rPr>
      <w:tab/>
      <w:t xml:space="preserve">Référence : </w:t>
    </w:r>
  </w:p>
  <w:p w:rsidR="006D3120" w:rsidRPr="0096109E" w:rsidRDefault="006D3120" w:rsidP="006D3120">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rPr>
        <w:rFonts w:ascii="Arial" w:hAnsi="Arial" w:cs="Arial"/>
      </w:rPr>
    </w:pPr>
    <w:r>
      <w:tab/>
    </w:r>
    <w:r>
      <w:tab/>
    </w:r>
    <w:r w:rsidRPr="0096109E">
      <w:rPr>
        <w:rFonts w:ascii="Arial" w:hAnsi="Arial" w:cs="Arial"/>
      </w:rPr>
      <w:t>Date :</w:t>
    </w:r>
  </w:p>
  <w:p w:rsidR="006D3120" w:rsidRDefault="006D3120" w:rsidP="006D3120">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pPr>
  </w:p>
  <w:p w:rsidR="006D3120" w:rsidRDefault="006D3120" w:rsidP="006D3120">
    <w:pPr>
      <w:pStyle w:val="En-tte"/>
      <w:pBdr>
        <w:top w:val="double" w:sz="4" w:space="1" w:color="auto"/>
        <w:left w:val="double" w:sz="4" w:space="4" w:color="auto"/>
        <w:bottom w:val="double" w:sz="4" w:space="1" w:color="auto"/>
        <w:right w:val="double" w:sz="4" w:space="4" w:color="auto"/>
      </w:pBdr>
      <w:tabs>
        <w:tab w:val="clear" w:pos="4536"/>
        <w:tab w:val="clear" w:pos="9072"/>
        <w:tab w:val="left" w:pos="1701"/>
        <w:tab w:val="left" w:pos="7088"/>
      </w:tabs>
    </w:pPr>
  </w:p>
  <w:p w:rsidR="006D3120" w:rsidRDefault="006D31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042C"/>
    <w:multiLevelType w:val="hybridMultilevel"/>
    <w:tmpl w:val="8BBAC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33DCF"/>
    <w:multiLevelType w:val="hybridMultilevel"/>
    <w:tmpl w:val="05F601A2"/>
    <w:lvl w:ilvl="0" w:tplc="5DA27A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9870BAF"/>
    <w:multiLevelType w:val="hybridMultilevel"/>
    <w:tmpl w:val="BEFC7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494470"/>
    <w:multiLevelType w:val="hybridMultilevel"/>
    <w:tmpl w:val="641AA8E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69B21EC"/>
    <w:multiLevelType w:val="hybridMultilevel"/>
    <w:tmpl w:val="1A3E283A"/>
    <w:lvl w:ilvl="0" w:tplc="040C0001">
      <w:start w:val="1"/>
      <w:numFmt w:val="bullet"/>
      <w:lvlText w:val=""/>
      <w:lvlJc w:val="left"/>
      <w:pPr>
        <w:ind w:left="720" w:hanging="360"/>
      </w:pPr>
      <w:rPr>
        <w:rFonts w:ascii="Symbol" w:hAnsi="Symbol" w:hint="default"/>
      </w:rPr>
    </w:lvl>
    <w:lvl w:ilvl="1" w:tplc="3C0017F0">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230181"/>
    <w:multiLevelType w:val="hybridMultilevel"/>
    <w:tmpl w:val="0B74AE3C"/>
    <w:lvl w:ilvl="0" w:tplc="44700C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B14E28"/>
    <w:multiLevelType w:val="hybridMultilevel"/>
    <w:tmpl w:val="71EE317E"/>
    <w:lvl w:ilvl="0" w:tplc="1A7C8EFE">
      <w:start w:val="1"/>
      <w:numFmt w:val="bullet"/>
      <w:lvlText w:val=""/>
      <w:lvlJc w:val="left"/>
      <w:pPr>
        <w:ind w:left="720" w:hanging="360"/>
      </w:pPr>
      <w:rPr>
        <w:rFonts w:ascii="Wingdings" w:eastAsiaTheme="minorEastAsia" w:hAnsi="Wingdings" w:cstheme="minorBidi" w:hint="default"/>
      </w:rPr>
    </w:lvl>
    <w:lvl w:ilvl="1" w:tplc="3C0017F0">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E0"/>
    <w:rsid w:val="00060B64"/>
    <w:rsid w:val="000B757C"/>
    <w:rsid w:val="001435FF"/>
    <w:rsid w:val="001816F4"/>
    <w:rsid w:val="00195FB3"/>
    <w:rsid w:val="00196956"/>
    <w:rsid w:val="001C587F"/>
    <w:rsid w:val="00286C10"/>
    <w:rsid w:val="00427317"/>
    <w:rsid w:val="005E08E0"/>
    <w:rsid w:val="00604E42"/>
    <w:rsid w:val="006D3120"/>
    <w:rsid w:val="007E7A56"/>
    <w:rsid w:val="009E2102"/>
    <w:rsid w:val="009F238C"/>
    <w:rsid w:val="00A3327B"/>
    <w:rsid w:val="00B1342A"/>
    <w:rsid w:val="00BC039F"/>
    <w:rsid w:val="00E33810"/>
    <w:rsid w:val="00F86E54"/>
    <w:rsid w:val="00F97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9F"/>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lettretitre">
    <w:name w:val="Modele lettre titre"/>
    <w:basedOn w:val="Normal"/>
    <w:rsid w:val="006D3120"/>
    <w:pPr>
      <w:widowControl w:val="0"/>
      <w:suppressAutoHyphens/>
      <w:spacing w:before="0" w:after="0" w:line="240" w:lineRule="auto"/>
      <w:ind w:left="2268"/>
    </w:pPr>
    <w:rPr>
      <w:rFonts w:ascii="Arial" w:eastAsia="Arial Unicode MS" w:hAnsi="Arial" w:cs="Times New Roman"/>
      <w:b/>
      <w:sz w:val="28"/>
      <w:szCs w:val="24"/>
    </w:rPr>
  </w:style>
  <w:style w:type="paragraph" w:styleId="En-tte">
    <w:name w:val="header"/>
    <w:basedOn w:val="Normal"/>
    <w:link w:val="En-tteCar"/>
    <w:uiPriority w:val="99"/>
    <w:unhideWhenUsed/>
    <w:rsid w:val="006D3120"/>
    <w:pPr>
      <w:tabs>
        <w:tab w:val="center" w:pos="4536"/>
        <w:tab w:val="right" w:pos="9072"/>
      </w:tabs>
      <w:spacing w:before="0" w:after="0" w:line="240" w:lineRule="auto"/>
    </w:pPr>
  </w:style>
  <w:style w:type="character" w:customStyle="1" w:styleId="En-tteCar">
    <w:name w:val="En-tête Car"/>
    <w:basedOn w:val="Policepardfaut"/>
    <w:link w:val="En-tte"/>
    <w:uiPriority w:val="99"/>
    <w:rsid w:val="006D3120"/>
    <w:rPr>
      <w:rFonts w:eastAsiaTheme="minorEastAsia"/>
      <w:sz w:val="20"/>
      <w:szCs w:val="20"/>
    </w:rPr>
  </w:style>
  <w:style w:type="paragraph" w:styleId="Pieddepage">
    <w:name w:val="footer"/>
    <w:basedOn w:val="Normal"/>
    <w:link w:val="PieddepageCar"/>
    <w:uiPriority w:val="99"/>
    <w:unhideWhenUsed/>
    <w:rsid w:val="006D312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D3120"/>
    <w:rPr>
      <w:rFonts w:eastAsiaTheme="minorEastAsia"/>
      <w:sz w:val="20"/>
      <w:szCs w:val="20"/>
    </w:rPr>
  </w:style>
  <w:style w:type="paragraph" w:customStyle="1" w:styleId="Default">
    <w:name w:val="Default"/>
    <w:rsid w:val="000B757C"/>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B757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57C"/>
    <w:rPr>
      <w:rFonts w:ascii="Tahoma" w:eastAsiaTheme="minorEastAsia" w:hAnsi="Tahoma" w:cs="Tahoma"/>
      <w:sz w:val="16"/>
      <w:szCs w:val="16"/>
    </w:rPr>
  </w:style>
  <w:style w:type="paragraph" w:styleId="Paragraphedeliste">
    <w:name w:val="List Paragraph"/>
    <w:basedOn w:val="Normal"/>
    <w:uiPriority w:val="34"/>
    <w:qFormat/>
    <w:rsid w:val="0014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9F"/>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lettretitre">
    <w:name w:val="Modele lettre titre"/>
    <w:basedOn w:val="Normal"/>
    <w:rsid w:val="006D3120"/>
    <w:pPr>
      <w:widowControl w:val="0"/>
      <w:suppressAutoHyphens/>
      <w:spacing w:before="0" w:after="0" w:line="240" w:lineRule="auto"/>
      <w:ind w:left="2268"/>
    </w:pPr>
    <w:rPr>
      <w:rFonts w:ascii="Arial" w:eastAsia="Arial Unicode MS" w:hAnsi="Arial" w:cs="Times New Roman"/>
      <w:b/>
      <w:sz w:val="28"/>
      <w:szCs w:val="24"/>
    </w:rPr>
  </w:style>
  <w:style w:type="paragraph" w:styleId="En-tte">
    <w:name w:val="header"/>
    <w:basedOn w:val="Normal"/>
    <w:link w:val="En-tteCar"/>
    <w:uiPriority w:val="99"/>
    <w:unhideWhenUsed/>
    <w:rsid w:val="006D3120"/>
    <w:pPr>
      <w:tabs>
        <w:tab w:val="center" w:pos="4536"/>
        <w:tab w:val="right" w:pos="9072"/>
      </w:tabs>
      <w:spacing w:before="0" w:after="0" w:line="240" w:lineRule="auto"/>
    </w:pPr>
  </w:style>
  <w:style w:type="character" w:customStyle="1" w:styleId="En-tteCar">
    <w:name w:val="En-tête Car"/>
    <w:basedOn w:val="Policepardfaut"/>
    <w:link w:val="En-tte"/>
    <w:uiPriority w:val="99"/>
    <w:rsid w:val="006D3120"/>
    <w:rPr>
      <w:rFonts w:eastAsiaTheme="minorEastAsia"/>
      <w:sz w:val="20"/>
      <w:szCs w:val="20"/>
    </w:rPr>
  </w:style>
  <w:style w:type="paragraph" w:styleId="Pieddepage">
    <w:name w:val="footer"/>
    <w:basedOn w:val="Normal"/>
    <w:link w:val="PieddepageCar"/>
    <w:uiPriority w:val="99"/>
    <w:unhideWhenUsed/>
    <w:rsid w:val="006D312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D3120"/>
    <w:rPr>
      <w:rFonts w:eastAsiaTheme="minorEastAsia"/>
      <w:sz w:val="20"/>
      <w:szCs w:val="20"/>
    </w:rPr>
  </w:style>
  <w:style w:type="paragraph" w:customStyle="1" w:styleId="Default">
    <w:name w:val="Default"/>
    <w:rsid w:val="000B757C"/>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0B757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57C"/>
    <w:rPr>
      <w:rFonts w:ascii="Tahoma" w:eastAsiaTheme="minorEastAsia" w:hAnsi="Tahoma" w:cs="Tahoma"/>
      <w:sz w:val="16"/>
      <w:szCs w:val="16"/>
    </w:rPr>
  </w:style>
  <w:style w:type="paragraph" w:styleId="Paragraphedeliste">
    <w:name w:val="List Paragraph"/>
    <w:basedOn w:val="Normal"/>
    <w:uiPriority w:val="34"/>
    <w:qFormat/>
    <w:rsid w:val="0014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VATBLED</dc:creator>
  <cp:lastModifiedBy>Nathalie DOS SANTOS</cp:lastModifiedBy>
  <cp:revision>3</cp:revision>
  <cp:lastPrinted>2017-11-17T15:29:00Z</cp:lastPrinted>
  <dcterms:created xsi:type="dcterms:W3CDTF">2017-11-17T17:23:00Z</dcterms:created>
  <dcterms:modified xsi:type="dcterms:W3CDTF">2017-11-28T10:26:00Z</dcterms:modified>
</cp:coreProperties>
</file>